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E3432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7235A0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 w:rsidRPr="007235A0">
        <w:rPr>
          <w:rFonts w:ascii="Arial" w:hAnsi="Arial" w:cs="Arial"/>
          <w:b/>
          <w:bCs/>
          <w:sz w:val="32"/>
          <w:szCs w:val="32"/>
        </w:rPr>
        <w:t>PROTOCOLO DE</w:t>
      </w:r>
      <w:r w:rsidR="00BC1A9E">
        <w:rPr>
          <w:rFonts w:ascii="Arial" w:hAnsi="Arial" w:cs="Arial"/>
          <w:b/>
          <w:bCs/>
          <w:sz w:val="32"/>
          <w:szCs w:val="32"/>
        </w:rPr>
        <w:t xml:space="preserve"> CONTRAINDICACIONES Y PREVENCION DE EVENTOS ADVERSOS EN  REHABILITACIÓN KINÉSICA</w:t>
      </w:r>
      <w:r w:rsidR="00D41F74" w:rsidRPr="001342DB">
        <w:rPr>
          <w:rFonts w:ascii="Arial" w:hAnsi="Arial" w:cs="Arial"/>
          <w:b/>
          <w:bCs/>
          <w:sz w:val="32"/>
          <w:szCs w:val="32"/>
        </w:rPr>
        <w:t>.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2C2" w:rsidRDefault="0087741E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Karen Leiva Zamora</w:t>
            </w:r>
          </w:p>
          <w:p w:rsidR="003C32C2" w:rsidRDefault="0087741E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Kinesióloga Jefa de CCR</w:t>
            </w:r>
          </w:p>
          <w:p w:rsidR="007154D4" w:rsidRDefault="007154D4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:rsidR="007154D4" w:rsidRDefault="007154D4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Arnaldo Pérez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Astargo</w:t>
            </w:r>
            <w:proofErr w:type="spellEnd"/>
          </w:p>
          <w:p w:rsidR="007154D4" w:rsidRDefault="007154D4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Kinesiólogo CCR</w:t>
            </w:r>
          </w:p>
          <w:p w:rsidR="003C32C2" w:rsidRPr="0068467C" w:rsidRDefault="003C32C2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7235A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723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87741E" w:rsidP="0087741E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13/09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7235A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87741E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7235A0"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87741E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235A0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7235A0"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B51F0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F63F7A">
        <w:rPr>
          <w:rFonts w:ascii="Arial" w:eastAsia="Arial" w:hAnsi="Arial" w:cs="Arial"/>
          <w:b/>
          <w:sz w:val="22"/>
          <w:szCs w:val="22"/>
        </w:rPr>
        <w:t>-. Objetivos</w:t>
      </w:r>
    </w:p>
    <w:p w:rsidR="000C2BFA" w:rsidRPr="007B2A3F" w:rsidRDefault="0087741E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Estandarizar las medidas de seguridad de la atención kinésica, a través de la protocolización de las contraindicaciones para la ejecución de procedimientos específicos y prevención de eventos adversos, relacionados con la rehabilitación kinésica a los usuarios de CCR de CESFAM José Joaquín Aguirre de Calle Larga.</w:t>
      </w:r>
    </w:p>
    <w:p w:rsidR="00B51F06" w:rsidRPr="007B2A3F" w:rsidRDefault="00B51F06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3C32C2">
      <w:pPr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Pr="007B2A3F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El presenta man</w:t>
      </w:r>
      <w:r w:rsidR="0087741E">
        <w:rPr>
          <w:rFonts w:ascii="Arial" w:eastAsia="Arial" w:hAnsi="Arial" w:cs="Arial"/>
          <w:sz w:val="20"/>
          <w:szCs w:val="20"/>
        </w:rPr>
        <w:t>ual rige para todo el personal que se desempeña en CCR</w:t>
      </w:r>
      <w:r w:rsidR="00B51F06">
        <w:rPr>
          <w:rFonts w:ascii="Arial" w:eastAsia="Arial" w:hAnsi="Arial" w:cs="Arial"/>
          <w:sz w:val="20"/>
          <w:szCs w:val="20"/>
        </w:rPr>
        <w:t>.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4-. Documentos de referencia</w:t>
      </w:r>
    </w:p>
    <w:p w:rsidR="001B514C" w:rsidRPr="001B514C" w:rsidRDefault="001B514C" w:rsidP="001B514C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1B514C">
        <w:rPr>
          <w:rFonts w:ascii="Arial" w:hAnsi="Arial" w:cs="Arial"/>
          <w:i/>
          <w:iCs/>
          <w:sz w:val="22"/>
          <w:szCs w:val="22"/>
        </w:rPr>
        <w:t>Unidad de Calidad y Seguridad del Paciente</w:t>
      </w:r>
      <w:r w:rsidRPr="001B514C">
        <w:rPr>
          <w:rFonts w:ascii="Arial" w:hAnsi="Arial" w:cs="Arial"/>
          <w:sz w:val="22"/>
          <w:szCs w:val="22"/>
        </w:rPr>
        <w:t>. (</w:t>
      </w:r>
      <w:proofErr w:type="gramStart"/>
      <w:r w:rsidRPr="001B514C">
        <w:rPr>
          <w:rFonts w:ascii="Arial" w:hAnsi="Arial" w:cs="Arial"/>
          <w:sz w:val="22"/>
          <w:szCs w:val="22"/>
        </w:rPr>
        <w:t>s</w:t>
      </w:r>
      <w:proofErr w:type="gramEnd"/>
      <w:r w:rsidRPr="001B514C">
        <w:rPr>
          <w:rFonts w:ascii="Arial" w:hAnsi="Arial" w:cs="Arial"/>
          <w:sz w:val="22"/>
          <w:szCs w:val="22"/>
        </w:rPr>
        <w:t>. f.). Recu</w:t>
      </w:r>
      <w:r>
        <w:rPr>
          <w:rFonts w:ascii="Arial" w:hAnsi="Arial" w:cs="Arial"/>
          <w:sz w:val="22"/>
          <w:szCs w:val="22"/>
        </w:rPr>
        <w:t xml:space="preserve">perado 5 de octubre de 2022, de </w:t>
      </w:r>
      <w:r w:rsidRPr="001B514C">
        <w:rPr>
          <w:rFonts w:ascii="Arial" w:hAnsi="Arial" w:cs="Arial"/>
          <w:sz w:val="22"/>
          <w:szCs w:val="22"/>
        </w:rPr>
        <w:t>https://www.hospitalregional.cl/plataforma-calidad/index.php?section=verif-points&amp;pvid=27&amp;spvid=72&amp;tcid=2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B51F06" w:rsidRDefault="00F63F7A" w:rsidP="00B51F06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5-. Responsable de la ejecución</w:t>
      </w:r>
      <w:r w:rsidR="00B51F06">
        <w:rPr>
          <w:rFonts w:ascii="Arial" w:eastAsia="Arial" w:hAnsi="Arial" w:cs="Arial"/>
          <w:b/>
          <w:sz w:val="22"/>
          <w:szCs w:val="22"/>
        </w:rPr>
        <w:t>:</w:t>
      </w:r>
    </w:p>
    <w:p w:rsidR="00B51F06" w:rsidRDefault="00B51F06" w:rsidP="00B51F06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CC1F5A" w:rsidTr="00CC1F5A">
        <w:tc>
          <w:tcPr>
            <w:tcW w:w="4924" w:type="dxa"/>
          </w:tcPr>
          <w:p w:rsidR="00CC1F5A" w:rsidRPr="00CC1F5A" w:rsidRDefault="0087741E" w:rsidP="00B51F06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Personal del CCR</w:t>
            </w:r>
          </w:p>
        </w:tc>
        <w:tc>
          <w:tcPr>
            <w:tcW w:w="4925" w:type="dxa"/>
          </w:tcPr>
          <w:p w:rsidR="00CC1F5A" w:rsidRPr="00CC1F5A" w:rsidRDefault="00CC1F5A" w:rsidP="00B51F06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Son responsables  de la ejecución del presente documento.</w:t>
            </w:r>
          </w:p>
        </w:tc>
      </w:tr>
      <w:tr w:rsidR="00CC1F5A" w:rsidTr="00CC1F5A">
        <w:tc>
          <w:tcPr>
            <w:tcW w:w="4924" w:type="dxa"/>
          </w:tcPr>
          <w:p w:rsidR="00CC1F5A" w:rsidRDefault="00CC1F5A" w:rsidP="00B51F06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Encargado de calidad</w:t>
            </w:r>
          </w:p>
        </w:tc>
        <w:tc>
          <w:tcPr>
            <w:tcW w:w="4925" w:type="dxa"/>
          </w:tcPr>
          <w:p w:rsidR="00CC1F5A" w:rsidRDefault="00CC1F5A" w:rsidP="00B51F06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93512">
              <w:rPr>
                <w:rFonts w:ascii="Arial" w:eastAsia="Arial" w:hAnsi="Arial" w:cs="Arial"/>
                <w:sz w:val="22"/>
                <w:szCs w:val="22"/>
              </w:rPr>
              <w:t>Monitoreo de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Indicador.</w:t>
            </w:r>
          </w:p>
        </w:tc>
      </w:tr>
    </w:tbl>
    <w:p w:rsidR="003C32C2" w:rsidRDefault="003C32C2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3C32C2" w:rsidRDefault="003C32C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63F7A" w:rsidRPr="00193512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>6-. Definiciones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E82ECB" w:rsidRDefault="0087741E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>Contraindicaciones relativas</w:t>
      </w:r>
      <w:r w:rsidR="00D31F78" w:rsidRPr="007B2A3F">
        <w:rPr>
          <w:rFonts w:ascii="Arial" w:eastAsia="Arial" w:hAnsi="Arial" w:cs="Arial"/>
          <w:b/>
          <w:sz w:val="20"/>
          <w:szCs w:val="20"/>
          <w:lang w:eastAsia="en-US"/>
        </w:rPr>
        <w:t>:</w:t>
      </w:r>
      <w:r w:rsidR="00E82ECB">
        <w:rPr>
          <w:rFonts w:ascii="Arial" w:eastAsia="Arial" w:hAnsi="Arial" w:cs="Arial"/>
          <w:b/>
          <w:sz w:val="20"/>
          <w:szCs w:val="20"/>
          <w:lang w:eastAsia="en-US"/>
        </w:rPr>
        <w:t xml:space="preserve"> </w:t>
      </w:r>
      <w:r w:rsidR="00E82ECB" w:rsidRPr="00E143B8">
        <w:rPr>
          <w:rFonts w:ascii="Arial" w:eastAsia="Arial" w:hAnsi="Arial" w:cs="Arial"/>
          <w:sz w:val="20"/>
          <w:szCs w:val="20"/>
          <w:lang w:eastAsia="en-US"/>
        </w:rPr>
        <w:t>Son aquellas contrai</w:t>
      </w:r>
      <w:r w:rsidR="00E143B8">
        <w:rPr>
          <w:rFonts w:ascii="Arial" w:eastAsia="Arial" w:hAnsi="Arial" w:cs="Arial"/>
          <w:sz w:val="20"/>
          <w:szCs w:val="20"/>
          <w:lang w:eastAsia="en-US"/>
        </w:rPr>
        <w:t>n</w:t>
      </w:r>
      <w:r w:rsidR="00E82ECB" w:rsidRPr="00E143B8">
        <w:rPr>
          <w:rFonts w:ascii="Arial" w:eastAsia="Arial" w:hAnsi="Arial" w:cs="Arial"/>
          <w:sz w:val="20"/>
          <w:szCs w:val="20"/>
          <w:lang w:eastAsia="en-US"/>
        </w:rPr>
        <w:t>dicaciones con las que se debe tener cautela cuando utilizan ciertos procedimientos, es aceptable hacerlo si los beneficios superan los riesgos.</w:t>
      </w:r>
    </w:p>
    <w:p w:rsidR="00E82ECB" w:rsidRDefault="00E82ECB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 xml:space="preserve">Contraindicaciones absolutas: </w:t>
      </w:r>
      <w:r w:rsidRPr="00E82ECB">
        <w:rPr>
          <w:rFonts w:ascii="Arial" w:eastAsia="Arial" w:hAnsi="Arial" w:cs="Arial"/>
          <w:sz w:val="20"/>
          <w:szCs w:val="20"/>
          <w:lang w:eastAsia="en-US"/>
        </w:rPr>
        <w:t>Significa que los procedimientos a realizar podrían ocasionar una situación potencialmente muy riesgosa para su salud, por lo tanto, las técnicas kinésicas dentro de esta categoría se deben evitar.</w:t>
      </w:r>
    </w:p>
    <w:p w:rsidR="00934F2A" w:rsidRDefault="00934F2A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 xml:space="preserve">TENS: </w:t>
      </w:r>
      <w:r w:rsidRPr="00934F2A">
        <w:rPr>
          <w:rFonts w:ascii="Arial" w:eastAsia="Arial" w:hAnsi="Arial" w:cs="Arial"/>
          <w:sz w:val="20"/>
          <w:szCs w:val="20"/>
          <w:lang w:eastAsia="en-US"/>
        </w:rPr>
        <w:t xml:space="preserve">Estimulación eléctrica </w:t>
      </w:r>
      <w:proofErr w:type="spellStart"/>
      <w:r w:rsidRPr="00934F2A">
        <w:rPr>
          <w:rFonts w:ascii="Arial" w:eastAsia="Arial" w:hAnsi="Arial" w:cs="Arial"/>
          <w:sz w:val="20"/>
          <w:szCs w:val="20"/>
          <w:lang w:eastAsia="en-US"/>
        </w:rPr>
        <w:t>Transcutánea</w:t>
      </w:r>
      <w:proofErr w:type="spellEnd"/>
      <w:r w:rsidRPr="00934F2A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F63F7A" w:rsidRPr="00E143B8" w:rsidRDefault="00E82ECB" w:rsidP="00E143B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 xml:space="preserve"> 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7-. Desarrollo</w:t>
      </w:r>
    </w:p>
    <w:p w:rsidR="008C4FD1" w:rsidRDefault="008C4FD1">
      <w:pPr>
        <w:rPr>
          <w:rFonts w:ascii="Arial" w:eastAsia="Arial" w:hAnsi="Arial" w:cs="Arial"/>
          <w:b/>
          <w:sz w:val="20"/>
          <w:szCs w:val="20"/>
        </w:rPr>
      </w:pPr>
    </w:p>
    <w:p w:rsidR="00EE72E5" w:rsidRDefault="0019351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Indicación de intervención kinésica</w:t>
      </w:r>
    </w:p>
    <w:p w:rsidR="00193512" w:rsidRDefault="00193512">
      <w:pPr>
        <w:rPr>
          <w:rFonts w:ascii="Arial" w:eastAsia="Arial" w:hAnsi="Arial" w:cs="Arial"/>
          <w:b/>
          <w:sz w:val="20"/>
          <w:szCs w:val="20"/>
        </w:rPr>
      </w:pPr>
    </w:p>
    <w:p w:rsidR="008C4FD1" w:rsidRDefault="008C4FD1">
      <w:pPr>
        <w:rPr>
          <w:rFonts w:ascii="Arial" w:eastAsia="Arial" w:hAnsi="Arial" w:cs="Arial"/>
          <w:sz w:val="20"/>
          <w:szCs w:val="20"/>
        </w:rPr>
      </w:pPr>
    </w:p>
    <w:p w:rsidR="008C4FD1" w:rsidRPr="000F1C32" w:rsidRDefault="00442FD5">
      <w:pPr>
        <w:rPr>
          <w:rFonts w:ascii="Arial" w:eastAsia="Arial" w:hAnsi="Arial" w:cs="Arial"/>
          <w:sz w:val="20"/>
          <w:szCs w:val="20"/>
        </w:rPr>
      </w:pPr>
      <w:r w:rsidRPr="000F1C32">
        <w:rPr>
          <w:rFonts w:ascii="Arial" w:eastAsia="Arial" w:hAnsi="Arial" w:cs="Arial"/>
          <w:sz w:val="20"/>
          <w:szCs w:val="20"/>
        </w:rPr>
        <w:t>A continuación, se describirán las actividades de atención kinésica describiéndolas</w:t>
      </w:r>
      <w:r w:rsidR="00900555">
        <w:rPr>
          <w:rFonts w:ascii="Arial" w:eastAsia="Arial" w:hAnsi="Arial" w:cs="Arial"/>
          <w:sz w:val="20"/>
          <w:szCs w:val="20"/>
        </w:rPr>
        <w:t xml:space="preserve"> y señalando las contraindicaciones relativas y absolutas.</w:t>
      </w:r>
    </w:p>
    <w:p w:rsidR="008C4FD1" w:rsidRPr="000F1C32" w:rsidRDefault="008C4FD1">
      <w:pPr>
        <w:rPr>
          <w:rFonts w:ascii="Arial" w:eastAsia="Arial" w:hAnsi="Arial" w:cs="Arial"/>
          <w:sz w:val="20"/>
          <w:szCs w:val="20"/>
        </w:rPr>
      </w:pPr>
    </w:p>
    <w:p w:rsidR="008C4FD1" w:rsidRPr="008C4FD1" w:rsidRDefault="008C4FD1">
      <w:pPr>
        <w:rPr>
          <w:rFonts w:ascii="Arial" w:eastAsia="Arial" w:hAnsi="Arial" w:cs="Arial"/>
          <w:b/>
          <w:sz w:val="20"/>
          <w:szCs w:val="20"/>
        </w:rPr>
      </w:pPr>
    </w:p>
    <w:p w:rsidR="000F1C32" w:rsidRDefault="003C32C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900555" w:rsidRDefault="0090055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Ejercicios terapéuticos:</w:t>
      </w:r>
    </w:p>
    <w:p w:rsidR="00900555" w:rsidRDefault="00900555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5"/>
        <w:gridCol w:w="2186"/>
        <w:gridCol w:w="2979"/>
        <w:gridCol w:w="2489"/>
      </w:tblGrid>
      <w:tr w:rsidR="000F1C32" w:rsidTr="00656E2B">
        <w:tc>
          <w:tcPr>
            <w:tcW w:w="2195" w:type="dxa"/>
          </w:tcPr>
          <w:p w:rsidR="000F1C32" w:rsidRDefault="000F1C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Técnica</w:t>
            </w:r>
          </w:p>
        </w:tc>
        <w:tc>
          <w:tcPr>
            <w:tcW w:w="2186" w:type="dxa"/>
          </w:tcPr>
          <w:p w:rsidR="000F1C32" w:rsidRDefault="000F1C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979" w:type="dxa"/>
          </w:tcPr>
          <w:p w:rsidR="000F1C32" w:rsidRDefault="000F1C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Contraindicación relativa</w:t>
            </w:r>
          </w:p>
        </w:tc>
        <w:tc>
          <w:tcPr>
            <w:tcW w:w="2489" w:type="dxa"/>
          </w:tcPr>
          <w:p w:rsidR="000F1C32" w:rsidRDefault="000F1C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Contraindicación Absoluta</w:t>
            </w:r>
          </w:p>
        </w:tc>
      </w:tr>
      <w:tr w:rsidR="000F1C32" w:rsidTr="00656E2B">
        <w:tc>
          <w:tcPr>
            <w:tcW w:w="2195" w:type="dxa"/>
          </w:tcPr>
          <w:p w:rsidR="000F1C32" w:rsidRPr="000F1C32" w:rsidRDefault="000F1C3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F1C32">
              <w:rPr>
                <w:rFonts w:ascii="Arial" w:eastAsia="Arial" w:hAnsi="Arial" w:cs="Arial"/>
                <w:sz w:val="22"/>
                <w:szCs w:val="22"/>
              </w:rPr>
              <w:t>Movilizaciones pasivas y activas</w:t>
            </w:r>
          </w:p>
        </w:tc>
        <w:tc>
          <w:tcPr>
            <w:tcW w:w="2186" w:type="dxa"/>
          </w:tcPr>
          <w:p w:rsidR="000F1C32" w:rsidRPr="000F1C32" w:rsidRDefault="000F1C3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F1C32">
              <w:rPr>
                <w:rFonts w:ascii="Arial" w:eastAsia="Arial" w:hAnsi="Arial" w:cs="Arial"/>
                <w:sz w:val="22"/>
                <w:szCs w:val="22"/>
              </w:rPr>
              <w:t>Técnica que se ocupa en aquellos tejidos que pueden ser tratados con la movilización articular general o específica, es decir, la piel y el tejido conectivo, músculos, tendones y las inserciones, las articulaciones óseas y cartilaginosas.</w:t>
            </w:r>
          </w:p>
        </w:tc>
        <w:tc>
          <w:tcPr>
            <w:tcW w:w="2979" w:type="dxa"/>
          </w:tcPr>
          <w:p w:rsidR="000F1C32" w:rsidRPr="004006CD" w:rsidRDefault="000F1C32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Paciente poco colaborador.</w:t>
            </w:r>
          </w:p>
          <w:p w:rsidR="000F1C32" w:rsidRPr="004006CD" w:rsidRDefault="000F1C32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Paciente ansioso.</w:t>
            </w:r>
          </w:p>
          <w:p w:rsidR="000F1C32" w:rsidRPr="004006CD" w:rsidRDefault="000F1C32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Lesión reciente de partes blandas.</w:t>
            </w:r>
          </w:p>
          <w:p w:rsidR="000F1C32" w:rsidRPr="004006CD" w:rsidRDefault="004006CD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Afecciones inflamatorias.</w:t>
            </w:r>
          </w:p>
          <w:p w:rsidR="004006CD" w:rsidRPr="004006CD" w:rsidRDefault="004006CD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Movilizaciones pasivas en articulación dolorosa en reposo.</w:t>
            </w:r>
          </w:p>
          <w:p w:rsidR="000F1C32" w:rsidRDefault="000F1C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dxa"/>
          </w:tcPr>
          <w:p w:rsidR="000F1C32" w:rsidRPr="004006CD" w:rsidRDefault="004006CD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Derrames articulares</w:t>
            </w:r>
          </w:p>
          <w:p w:rsidR="004006CD" w:rsidRPr="004006CD" w:rsidRDefault="004006CD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Endocarditis activa</w:t>
            </w:r>
          </w:p>
          <w:p w:rsidR="004006CD" w:rsidRPr="004006CD" w:rsidRDefault="004006CD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Heridas abiertas</w:t>
            </w:r>
          </w:p>
          <w:p w:rsidR="004006CD" w:rsidRPr="004006CD" w:rsidRDefault="004006CD" w:rsidP="004006CD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006CD">
              <w:rPr>
                <w:rFonts w:ascii="Arial" w:eastAsia="Arial" w:hAnsi="Arial" w:cs="Arial"/>
                <w:sz w:val="22"/>
                <w:szCs w:val="22"/>
              </w:rPr>
              <w:t>Fracturas con retardo de consolidación.</w:t>
            </w:r>
          </w:p>
        </w:tc>
      </w:tr>
      <w:tr w:rsidR="000F1C32" w:rsidTr="00656E2B">
        <w:tc>
          <w:tcPr>
            <w:tcW w:w="2195" w:type="dxa"/>
          </w:tcPr>
          <w:p w:rsidR="000F1C32" w:rsidRPr="00064A5D" w:rsidRDefault="004006CD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64A5D">
              <w:rPr>
                <w:rFonts w:ascii="Arial" w:eastAsia="Arial" w:hAnsi="Arial" w:cs="Arial"/>
                <w:sz w:val="22"/>
                <w:szCs w:val="22"/>
              </w:rPr>
              <w:t>Masoterapia</w:t>
            </w:r>
            <w:proofErr w:type="spellEnd"/>
          </w:p>
        </w:tc>
        <w:tc>
          <w:tcPr>
            <w:tcW w:w="2186" w:type="dxa"/>
          </w:tcPr>
          <w:p w:rsidR="000F1C32" w:rsidRPr="00064A5D" w:rsidRDefault="00064A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64A5D">
              <w:rPr>
                <w:rFonts w:ascii="Arial" w:eastAsia="Arial" w:hAnsi="Arial" w:cs="Arial"/>
                <w:sz w:val="22"/>
                <w:szCs w:val="22"/>
              </w:rPr>
              <w:t>Se defina como toda maniobra manual o mecánica dirigida a movilizar los tejidos o los segmentos de los miembros, de una forma sistematizada, con fines terapéuticos.</w:t>
            </w:r>
          </w:p>
        </w:tc>
        <w:tc>
          <w:tcPr>
            <w:tcW w:w="2979" w:type="dxa"/>
          </w:tcPr>
          <w:p w:rsidR="000F1C32" w:rsidRPr="00064A5D" w:rsidRDefault="00064A5D" w:rsidP="00064A5D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64A5D">
              <w:rPr>
                <w:rFonts w:ascii="Arial" w:eastAsia="Arial" w:hAnsi="Arial" w:cs="Arial"/>
                <w:sz w:val="22"/>
                <w:szCs w:val="22"/>
              </w:rPr>
              <w:t>Alteraciones dermatológicas.</w:t>
            </w:r>
          </w:p>
          <w:p w:rsidR="00064A5D" w:rsidRPr="00064A5D" w:rsidRDefault="00064A5D" w:rsidP="00064A5D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64A5D">
              <w:rPr>
                <w:rFonts w:ascii="Arial" w:eastAsia="Arial" w:hAnsi="Arial" w:cs="Arial"/>
                <w:sz w:val="22"/>
                <w:szCs w:val="22"/>
              </w:rPr>
              <w:t>Personas que no toleren masaje.</w:t>
            </w:r>
          </w:p>
          <w:p w:rsidR="00064A5D" w:rsidRPr="00064A5D" w:rsidRDefault="00064A5D" w:rsidP="00064A5D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64A5D">
              <w:rPr>
                <w:rFonts w:ascii="Arial" w:eastAsia="Arial" w:hAnsi="Arial" w:cs="Arial"/>
                <w:sz w:val="22"/>
                <w:szCs w:val="22"/>
              </w:rPr>
              <w:t xml:space="preserve">Regiones vulnerables como hueco </w:t>
            </w:r>
            <w:proofErr w:type="spellStart"/>
            <w:r w:rsidRPr="00064A5D">
              <w:rPr>
                <w:rFonts w:ascii="Arial" w:eastAsia="Arial" w:hAnsi="Arial" w:cs="Arial"/>
                <w:sz w:val="22"/>
                <w:szCs w:val="22"/>
              </w:rPr>
              <w:t>popitleo</w:t>
            </w:r>
            <w:proofErr w:type="spellEnd"/>
            <w:r w:rsidRPr="00064A5D">
              <w:rPr>
                <w:rFonts w:ascii="Arial" w:eastAsia="Arial" w:hAnsi="Arial" w:cs="Arial"/>
                <w:sz w:val="22"/>
                <w:szCs w:val="22"/>
              </w:rPr>
              <w:t xml:space="preserve">, triangulo de </w:t>
            </w:r>
            <w:proofErr w:type="spellStart"/>
            <w:r w:rsidRPr="00064A5D">
              <w:rPr>
                <w:rFonts w:ascii="Arial" w:eastAsia="Arial" w:hAnsi="Arial" w:cs="Arial"/>
                <w:sz w:val="22"/>
                <w:szCs w:val="22"/>
              </w:rPr>
              <w:t>scarpa</w:t>
            </w:r>
            <w:proofErr w:type="spellEnd"/>
            <w:r w:rsidRPr="00064A5D">
              <w:rPr>
                <w:rFonts w:ascii="Arial" w:eastAsia="Arial" w:hAnsi="Arial" w:cs="Arial"/>
                <w:sz w:val="22"/>
                <w:szCs w:val="22"/>
              </w:rPr>
              <w:t>, axilas, región anterior del codo y del cuello.</w:t>
            </w:r>
          </w:p>
          <w:p w:rsidR="00064A5D" w:rsidRPr="00064A5D" w:rsidRDefault="00064A5D" w:rsidP="00064A5D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64A5D">
              <w:rPr>
                <w:rFonts w:ascii="Arial" w:eastAsia="Arial" w:hAnsi="Arial" w:cs="Arial"/>
                <w:sz w:val="22"/>
                <w:szCs w:val="22"/>
              </w:rPr>
              <w:t>Soriasis.</w:t>
            </w:r>
          </w:p>
          <w:p w:rsidR="00064A5D" w:rsidRPr="00064A5D" w:rsidRDefault="00064A5D" w:rsidP="00064A5D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A5D">
              <w:rPr>
                <w:rFonts w:ascii="Arial" w:eastAsia="Arial" w:hAnsi="Arial" w:cs="Arial"/>
                <w:sz w:val="22"/>
                <w:szCs w:val="22"/>
              </w:rPr>
              <w:t>Embarazo.</w:t>
            </w:r>
          </w:p>
        </w:tc>
        <w:tc>
          <w:tcPr>
            <w:tcW w:w="2489" w:type="dxa"/>
          </w:tcPr>
          <w:p w:rsidR="000F1C32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 xml:space="preserve">Inflamaciones </w:t>
            </w:r>
            <w:proofErr w:type="spellStart"/>
            <w:r w:rsidRPr="00900555">
              <w:rPr>
                <w:rFonts w:ascii="Arial" w:eastAsia="Arial" w:hAnsi="Arial" w:cs="Arial"/>
                <w:sz w:val="22"/>
                <w:szCs w:val="22"/>
              </w:rPr>
              <w:t>osteoarticulares</w:t>
            </w:r>
            <w:proofErr w:type="spellEnd"/>
            <w:r w:rsidRPr="00900555">
              <w:rPr>
                <w:rFonts w:ascii="Arial" w:eastAsia="Arial" w:hAnsi="Arial" w:cs="Arial"/>
                <w:sz w:val="22"/>
                <w:szCs w:val="22"/>
              </w:rPr>
              <w:t xml:space="preserve"> agudas.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Periodos agudos de traumatismos.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Flebitis aguda.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Embolismo.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Várices venosas severas.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Gota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Fragilidad capilar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Bursitis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Artritis reumatoide en etapa de crisis.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 xml:space="preserve">Procesos </w:t>
            </w:r>
            <w:proofErr w:type="spellStart"/>
            <w:r w:rsidRPr="00900555">
              <w:rPr>
                <w:rFonts w:ascii="Arial" w:eastAsia="Arial" w:hAnsi="Arial" w:cs="Arial"/>
                <w:sz w:val="22"/>
                <w:szCs w:val="22"/>
              </w:rPr>
              <w:t>litiasicos</w:t>
            </w:r>
            <w:proofErr w:type="spellEnd"/>
            <w:r w:rsidRPr="00900555">
              <w:rPr>
                <w:rFonts w:ascii="Arial" w:eastAsia="Arial" w:hAnsi="Arial" w:cs="Arial"/>
                <w:sz w:val="22"/>
                <w:szCs w:val="22"/>
              </w:rPr>
              <w:t xml:space="preserve"> de cualquier localización.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lastRenderedPageBreak/>
              <w:t>Atrapamiento nervioso.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 xml:space="preserve">Tumores </w:t>
            </w:r>
            <w:proofErr w:type="spellStart"/>
            <w:r w:rsidRPr="00900555">
              <w:rPr>
                <w:rFonts w:ascii="Arial" w:eastAsia="Arial" w:hAnsi="Arial" w:cs="Arial"/>
                <w:sz w:val="22"/>
                <w:szCs w:val="22"/>
              </w:rPr>
              <w:t>oseos</w:t>
            </w:r>
            <w:proofErr w:type="spellEnd"/>
            <w:r w:rsidRPr="00900555">
              <w:rPr>
                <w:rFonts w:ascii="Arial" w:eastAsia="Arial" w:hAnsi="Arial" w:cs="Arial"/>
                <w:sz w:val="22"/>
                <w:szCs w:val="22"/>
              </w:rPr>
              <w:t xml:space="preserve"> primarios.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Heridas.</w:t>
            </w:r>
          </w:p>
          <w:p w:rsidR="00064A5D" w:rsidRPr="00900555" w:rsidRDefault="00064A5D" w:rsidP="0090055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00555">
              <w:rPr>
                <w:rFonts w:ascii="Arial" w:eastAsia="Arial" w:hAnsi="Arial" w:cs="Arial"/>
                <w:sz w:val="22"/>
                <w:szCs w:val="22"/>
              </w:rPr>
              <w:t>Fracturas</w:t>
            </w:r>
          </w:p>
          <w:p w:rsidR="00064A5D" w:rsidRDefault="00064A5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F1C32" w:rsidTr="00656E2B">
        <w:tc>
          <w:tcPr>
            <w:tcW w:w="2195" w:type="dxa"/>
          </w:tcPr>
          <w:p w:rsidR="000F1C32" w:rsidRPr="00656E2B" w:rsidRDefault="0090055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Entrenamiento </w:t>
            </w:r>
            <w:proofErr w:type="spellStart"/>
            <w:r w:rsidRPr="00656E2B">
              <w:rPr>
                <w:rFonts w:ascii="Arial" w:eastAsia="Arial" w:hAnsi="Arial" w:cs="Arial"/>
                <w:sz w:val="22"/>
                <w:szCs w:val="22"/>
              </w:rPr>
              <w:t>ergométrico</w:t>
            </w:r>
            <w:proofErr w:type="spellEnd"/>
            <w:r w:rsidRPr="00656E2B">
              <w:rPr>
                <w:rFonts w:ascii="Arial" w:eastAsia="Arial" w:hAnsi="Arial" w:cs="Arial"/>
                <w:sz w:val="22"/>
                <w:szCs w:val="22"/>
              </w:rPr>
              <w:t xml:space="preserve"> (Bicicleta estática y Caminadora)</w:t>
            </w:r>
          </w:p>
        </w:tc>
        <w:tc>
          <w:tcPr>
            <w:tcW w:w="2186" w:type="dxa"/>
          </w:tcPr>
          <w:p w:rsidR="000F1C32" w:rsidRPr="00656E2B" w:rsidRDefault="0090055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 xml:space="preserve">Uso de bicicleta estática y/o caminadora con fines terapéuticos. </w:t>
            </w:r>
          </w:p>
        </w:tc>
        <w:tc>
          <w:tcPr>
            <w:tcW w:w="2979" w:type="dxa"/>
          </w:tcPr>
          <w:p w:rsidR="000F1C32" w:rsidRPr="00656E2B" w:rsidRDefault="00900555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Arritmias o taquicardias.</w:t>
            </w:r>
          </w:p>
          <w:p w:rsidR="00900555" w:rsidRPr="00656E2B" w:rsidRDefault="00900555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Cardiomegalia</w:t>
            </w:r>
          </w:p>
          <w:p w:rsidR="00900555" w:rsidRPr="00656E2B" w:rsidRDefault="00900555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Trastornos de la conducción.</w:t>
            </w:r>
          </w:p>
          <w:p w:rsidR="00900555" w:rsidRPr="00656E2B" w:rsidRDefault="00900555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Anemia Severa.</w:t>
            </w:r>
          </w:p>
          <w:p w:rsidR="00900555" w:rsidRPr="00656E2B" w:rsidRDefault="00900555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 xml:space="preserve">Trastornos </w:t>
            </w:r>
            <w:proofErr w:type="spellStart"/>
            <w:r w:rsidRPr="00656E2B">
              <w:rPr>
                <w:rFonts w:ascii="Arial" w:eastAsia="Arial" w:hAnsi="Arial" w:cs="Arial"/>
                <w:sz w:val="22"/>
                <w:szCs w:val="22"/>
              </w:rPr>
              <w:t>psiconeuróticos</w:t>
            </w:r>
            <w:proofErr w:type="spellEnd"/>
            <w:r w:rsidRPr="00656E2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00555" w:rsidRDefault="00900555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 xml:space="preserve">Trastornos neuromusculares, </w:t>
            </w:r>
            <w:proofErr w:type="spellStart"/>
            <w:r w:rsidRPr="00656E2B">
              <w:rPr>
                <w:rFonts w:ascii="Arial" w:eastAsia="Arial" w:hAnsi="Arial" w:cs="Arial"/>
                <w:sz w:val="22"/>
                <w:szCs w:val="22"/>
              </w:rPr>
              <w:t>musculoesqueléticos</w:t>
            </w:r>
            <w:proofErr w:type="spellEnd"/>
            <w:r w:rsidRPr="00656E2B">
              <w:rPr>
                <w:rFonts w:ascii="Arial" w:eastAsia="Arial" w:hAnsi="Arial" w:cs="Arial"/>
                <w:sz w:val="22"/>
                <w:szCs w:val="22"/>
              </w:rPr>
              <w:t xml:space="preserve"> y artríticos que pueden limitar la actividad.</w:t>
            </w:r>
          </w:p>
          <w:p w:rsid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Embarazo</w:t>
            </w:r>
          </w:p>
          <w:p w:rsid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Presencia de hernias de disco cervical o lumbares.</w:t>
            </w:r>
          </w:p>
          <w:p w:rsid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Heridas o cicatrices recientes en las zonas que se deben entrenar.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Fuertes migrañas.</w:t>
            </w:r>
          </w:p>
          <w:p w:rsidR="00900555" w:rsidRDefault="009005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dxa"/>
          </w:tcPr>
          <w:p w:rsidR="000F1C32" w:rsidRP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Insuficiencia cardiaca no controlada.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Tromboflebitis activa o reciente.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Hipertensión arterial no controlada.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Trombosis aguda.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Inflamación aguda de las partes del cuerpo que se deben entrenar.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Tumores malignos, fracturas recientes en las partes del cuerpo que se deben entrenar.</w:t>
            </w:r>
          </w:p>
        </w:tc>
      </w:tr>
    </w:tbl>
    <w:p w:rsidR="003C32C2" w:rsidRDefault="003C32C2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Fisioterapia: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4"/>
        <w:gridCol w:w="2387"/>
        <w:gridCol w:w="2456"/>
        <w:gridCol w:w="2612"/>
      </w:tblGrid>
      <w:tr w:rsidR="00656E2B" w:rsidTr="00656E2B">
        <w:tc>
          <w:tcPr>
            <w:tcW w:w="2462" w:type="dxa"/>
          </w:tcPr>
          <w:p w:rsidR="00656E2B" w:rsidRDefault="00656E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Técnica</w:t>
            </w:r>
          </w:p>
        </w:tc>
        <w:tc>
          <w:tcPr>
            <w:tcW w:w="2462" w:type="dxa"/>
          </w:tcPr>
          <w:p w:rsidR="00656E2B" w:rsidRDefault="00656E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462" w:type="dxa"/>
          </w:tcPr>
          <w:p w:rsidR="00656E2B" w:rsidRDefault="00656E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Contraindicación relativa</w:t>
            </w:r>
          </w:p>
        </w:tc>
        <w:tc>
          <w:tcPr>
            <w:tcW w:w="2463" w:type="dxa"/>
          </w:tcPr>
          <w:p w:rsidR="00656E2B" w:rsidRDefault="00656E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Contraindicación absoluta</w:t>
            </w:r>
          </w:p>
        </w:tc>
      </w:tr>
      <w:tr w:rsidR="00656E2B" w:rsidTr="00656E2B">
        <w:tc>
          <w:tcPr>
            <w:tcW w:w="2462" w:type="dxa"/>
          </w:tcPr>
          <w:p w:rsidR="00656E2B" w:rsidRPr="00870EC1" w:rsidRDefault="00656E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Termoterapia superficial</w:t>
            </w:r>
          </w:p>
        </w:tc>
        <w:tc>
          <w:tcPr>
            <w:tcW w:w="2462" w:type="dxa"/>
          </w:tcPr>
          <w:p w:rsidR="00656E2B" w:rsidRPr="00656E2B" w:rsidRDefault="00656E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Es la aplicación de calor sobre el organismo por medio de cuerpos materiales de temperatura elevada, por encima de los niveles fisiológicos, con un fin terapéutico.</w:t>
            </w:r>
          </w:p>
        </w:tc>
        <w:tc>
          <w:tcPr>
            <w:tcW w:w="2462" w:type="dxa"/>
          </w:tcPr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Tumefacción aguda o trauma.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Embarazo y menstruación.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Pacientes desorientados.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Cicatrices grandes, injertos.</w:t>
            </w:r>
          </w:p>
          <w:p w:rsidR="00656E2B" w:rsidRDefault="00656E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63" w:type="dxa"/>
          </w:tcPr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Anestesia cutánea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Neoplasia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Disminución de sensibilidad</w:t>
            </w:r>
          </w:p>
          <w:p w:rsidR="00656E2B" w:rsidRP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Isquemia local</w:t>
            </w:r>
          </w:p>
          <w:p w:rsidR="00656E2B" w:rsidRDefault="00656E2B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6E2B">
              <w:rPr>
                <w:rFonts w:ascii="Arial" w:eastAsia="Arial" w:hAnsi="Arial" w:cs="Arial"/>
                <w:sz w:val="22"/>
                <w:szCs w:val="22"/>
              </w:rPr>
              <w:t>Inflamación aguda o edema.</w:t>
            </w:r>
          </w:p>
          <w:p w:rsidR="00870EC1" w:rsidRPr="00656E2B" w:rsidRDefault="00870EC1" w:rsidP="00656E2B">
            <w:pPr>
              <w:pStyle w:val="Prrafodelista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Heridas abiertas.</w:t>
            </w:r>
          </w:p>
          <w:p w:rsidR="00656E2B" w:rsidRDefault="00656E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56E2B" w:rsidTr="00656E2B">
        <w:tc>
          <w:tcPr>
            <w:tcW w:w="2462" w:type="dxa"/>
          </w:tcPr>
          <w:p w:rsidR="00656E2B" w:rsidRPr="00870EC1" w:rsidRDefault="00870EC1" w:rsidP="00870E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Crioterapia</w:t>
            </w:r>
          </w:p>
        </w:tc>
        <w:tc>
          <w:tcPr>
            <w:tcW w:w="2462" w:type="dxa"/>
          </w:tcPr>
          <w:p w:rsidR="00656E2B" w:rsidRPr="00870EC1" w:rsidRDefault="00870EC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La crioterapia es la aplicación de frío en el organismo con fines terapéuticos.</w:t>
            </w:r>
          </w:p>
        </w:tc>
        <w:tc>
          <w:tcPr>
            <w:tcW w:w="2462" w:type="dxa"/>
          </w:tcPr>
          <w:p w:rsidR="00656E2B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Cardiopatías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Edema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Injertos cutáneos.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Hipertensión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Hipostesia y confusión.</w:t>
            </w:r>
          </w:p>
          <w:p w:rsidR="00870EC1" w:rsidRDefault="00870EC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70EC1" w:rsidRDefault="00870EC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70EC1" w:rsidRDefault="00870EC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63" w:type="dxa"/>
          </w:tcPr>
          <w:p w:rsidR="00656E2B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Hipersensibilidad al frío.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Trastornos de la sensibilidad.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Anemia.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Neoplasia.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870EC1">
              <w:rPr>
                <w:rFonts w:ascii="Arial" w:eastAsia="Arial" w:hAnsi="Arial" w:cs="Arial"/>
                <w:sz w:val="22"/>
                <w:szCs w:val="22"/>
              </w:rPr>
              <w:t>Sd</w:t>
            </w:r>
            <w:proofErr w:type="spellEnd"/>
            <w:r w:rsidRPr="00870EC1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70EC1">
              <w:rPr>
                <w:rFonts w:ascii="Arial" w:eastAsia="Arial" w:hAnsi="Arial" w:cs="Arial"/>
                <w:sz w:val="22"/>
                <w:szCs w:val="22"/>
              </w:rPr>
              <w:t>Raynaud</w:t>
            </w:r>
            <w:proofErr w:type="spellEnd"/>
            <w:r w:rsidRPr="00870EC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Zonas isquémicas</w:t>
            </w:r>
          </w:p>
          <w:p w:rsidR="00870EC1" w:rsidRPr="00870EC1" w:rsidRDefault="00870EC1" w:rsidP="00870EC1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EC1">
              <w:rPr>
                <w:rFonts w:ascii="Arial" w:eastAsia="Arial" w:hAnsi="Arial" w:cs="Arial"/>
                <w:sz w:val="22"/>
                <w:szCs w:val="22"/>
              </w:rPr>
              <w:t>Injertos cutáneos por irrigación precaria.</w:t>
            </w:r>
          </w:p>
        </w:tc>
      </w:tr>
      <w:tr w:rsidR="00656E2B" w:rsidTr="00656E2B">
        <w:tc>
          <w:tcPr>
            <w:tcW w:w="2462" w:type="dxa"/>
          </w:tcPr>
          <w:p w:rsidR="00656E2B" w:rsidRDefault="00870EC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Electroterapia</w:t>
            </w:r>
          </w:p>
          <w:p w:rsidR="00934F2A" w:rsidRDefault="00934F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34F2A" w:rsidRPr="00AF4FE8" w:rsidRDefault="00934F2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(TENS)</w:t>
            </w:r>
          </w:p>
        </w:tc>
        <w:tc>
          <w:tcPr>
            <w:tcW w:w="2462" w:type="dxa"/>
          </w:tcPr>
          <w:p w:rsidR="00656E2B" w:rsidRPr="00AF4FE8" w:rsidRDefault="00870EC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Es la utilización terapéutica de la corriente eléctrica.</w:t>
            </w:r>
          </w:p>
        </w:tc>
        <w:tc>
          <w:tcPr>
            <w:tcW w:w="2462" w:type="dxa"/>
          </w:tcPr>
          <w:p w:rsidR="00656E2B" w:rsidRPr="00AF4FE8" w:rsidRDefault="00870EC1" w:rsidP="00AF4FE8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Pacientes con alteraciones de la sensibilidad.</w:t>
            </w:r>
          </w:p>
          <w:p w:rsidR="00870EC1" w:rsidRPr="00AF4FE8" w:rsidRDefault="00870EC1" w:rsidP="00AF4FE8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 xml:space="preserve">En proximidades de nervios que tienen relación directa sobre funciones orgánicas, como el frénico o los </w:t>
            </w:r>
            <w:proofErr w:type="spellStart"/>
            <w:r w:rsidRPr="00AF4FE8">
              <w:rPr>
                <w:rFonts w:ascii="Arial" w:eastAsia="Arial" w:hAnsi="Arial" w:cs="Arial"/>
                <w:sz w:val="22"/>
                <w:szCs w:val="22"/>
              </w:rPr>
              <w:t>esfinterianos</w:t>
            </w:r>
            <w:proofErr w:type="spellEnd"/>
            <w:r w:rsidRPr="00AF4FE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870EC1" w:rsidRPr="00AF4FE8" w:rsidRDefault="00870EC1" w:rsidP="00AF4FE8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 xml:space="preserve">Pacientes con anomalías </w:t>
            </w:r>
            <w:r w:rsidRPr="00AF4FE8">
              <w:rPr>
                <w:rFonts w:ascii="Arial" w:eastAsia="Arial" w:hAnsi="Arial" w:cs="Arial"/>
                <w:sz w:val="22"/>
                <w:szCs w:val="22"/>
              </w:rPr>
              <w:lastRenderedPageBreak/>
              <w:t>neurológicas centrales.</w:t>
            </w:r>
          </w:p>
          <w:p w:rsidR="00870EC1" w:rsidRPr="00AF4FE8" w:rsidRDefault="00870EC1" w:rsidP="00AF4FE8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Zonas cercanas a ojo y boca.</w:t>
            </w:r>
          </w:p>
          <w:p w:rsidR="00870EC1" w:rsidRPr="00AF4FE8" w:rsidRDefault="00870EC1" w:rsidP="00AF4FE8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Síndromes febriles o procesos infecciosos.</w:t>
            </w:r>
          </w:p>
          <w:p w:rsidR="00870EC1" w:rsidRPr="00AF4FE8" w:rsidRDefault="00870EC1" w:rsidP="00AF4FE8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Trastorno de la circulación con grave edema.</w:t>
            </w:r>
          </w:p>
        </w:tc>
        <w:tc>
          <w:tcPr>
            <w:tcW w:w="2463" w:type="dxa"/>
          </w:tcPr>
          <w:p w:rsidR="00656E2B" w:rsidRPr="00AF4FE8" w:rsidRDefault="00870EC1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lastRenderedPageBreak/>
              <w:t>Sobre senos carotideos.</w:t>
            </w:r>
          </w:p>
          <w:p w:rsidR="00870EC1" w:rsidRPr="00AF4FE8" w:rsidRDefault="00870EC1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Marcapasos.</w:t>
            </w:r>
          </w:p>
          <w:p w:rsidR="00870EC1" w:rsidRPr="00AF4FE8" w:rsidRDefault="00870EC1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Tromboflebitis o trombosis.</w:t>
            </w:r>
          </w:p>
          <w:p w:rsidR="00870EC1" w:rsidRPr="00AF4FE8" w:rsidRDefault="00AF4FE8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Pacientes epilépticos, sin control médico y con riesgo de desencadenar crisis.</w:t>
            </w:r>
          </w:p>
          <w:p w:rsidR="00AF4FE8" w:rsidRPr="00AF4FE8" w:rsidRDefault="00AF4FE8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Zona de anestesia.</w:t>
            </w:r>
          </w:p>
          <w:p w:rsidR="00AF4FE8" w:rsidRPr="00AF4FE8" w:rsidRDefault="00AF4FE8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 xml:space="preserve">Aplicación de zonas con </w:t>
            </w:r>
            <w:r w:rsidRPr="00AF4FE8">
              <w:rPr>
                <w:rFonts w:ascii="Arial" w:eastAsia="Arial" w:hAnsi="Arial" w:cs="Arial"/>
                <w:sz w:val="22"/>
                <w:szCs w:val="22"/>
              </w:rPr>
              <w:lastRenderedPageBreak/>
              <w:t>deterioro de la piel.</w:t>
            </w:r>
          </w:p>
          <w:p w:rsidR="00AF4FE8" w:rsidRPr="00AF4FE8" w:rsidRDefault="00AF4FE8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Procesos neoplásicos.</w:t>
            </w:r>
          </w:p>
          <w:p w:rsidR="00AF4FE8" w:rsidRPr="00AF4FE8" w:rsidRDefault="002978AB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Isquemia</w:t>
            </w:r>
            <w:r w:rsidR="00AF4FE8" w:rsidRPr="00AF4FE8">
              <w:rPr>
                <w:rFonts w:ascii="Arial" w:eastAsia="Arial" w:hAnsi="Arial" w:cs="Arial"/>
                <w:sz w:val="22"/>
                <w:szCs w:val="22"/>
              </w:rPr>
              <w:t xml:space="preserve"> por insuficiencia arterial.</w:t>
            </w:r>
          </w:p>
          <w:p w:rsidR="00AF4FE8" w:rsidRPr="00AF4FE8" w:rsidRDefault="00AF4FE8" w:rsidP="00AF4FE8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F4FE8">
              <w:rPr>
                <w:rFonts w:ascii="Arial" w:eastAsia="Arial" w:hAnsi="Arial" w:cs="Arial"/>
                <w:sz w:val="22"/>
                <w:szCs w:val="22"/>
              </w:rPr>
              <w:t>Gangrena</w:t>
            </w:r>
          </w:p>
          <w:p w:rsidR="00AF4FE8" w:rsidRDefault="00AF4FE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656E2B" w:rsidRDefault="00656E2B">
      <w:pPr>
        <w:rPr>
          <w:rFonts w:ascii="Arial" w:eastAsia="Arial" w:hAnsi="Arial" w:cs="Arial"/>
          <w:b/>
          <w:sz w:val="22"/>
          <w:szCs w:val="22"/>
        </w:rPr>
      </w:pPr>
    </w:p>
    <w:p w:rsidR="00EE72E5" w:rsidRPr="007154D4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945B13" w:rsidRPr="007154D4" w:rsidRDefault="00945B13">
      <w:pPr>
        <w:rPr>
          <w:rFonts w:ascii="Arial" w:eastAsia="Arial" w:hAnsi="Arial" w:cs="Arial"/>
          <w:b/>
          <w:sz w:val="22"/>
          <w:szCs w:val="22"/>
        </w:rPr>
      </w:pPr>
      <w:r w:rsidRPr="007154D4">
        <w:rPr>
          <w:rFonts w:ascii="Arial" w:eastAsia="Arial" w:hAnsi="Arial" w:cs="Arial"/>
          <w:b/>
          <w:sz w:val="22"/>
          <w:szCs w:val="22"/>
        </w:rPr>
        <w:t>Prevención de eventos adversos asociados a la rehabilitación kinésica.</w:t>
      </w:r>
    </w:p>
    <w:p w:rsidR="00945B13" w:rsidRDefault="00945B13">
      <w:pPr>
        <w:rPr>
          <w:rFonts w:ascii="Arial" w:eastAsia="Arial" w:hAnsi="Arial" w:cs="Arial"/>
          <w:sz w:val="22"/>
          <w:szCs w:val="22"/>
        </w:rPr>
      </w:pPr>
    </w:p>
    <w:p w:rsidR="00945B13" w:rsidRDefault="00945B1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usuarios que son sometidos a rehabilitación kinésica son susceptibles de sufrir eventos adversos por lo que es importante respetar las contraindicaciones vistas anteriormente para </w:t>
      </w:r>
      <w:r w:rsidR="006F300E"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z w:val="22"/>
          <w:szCs w:val="22"/>
        </w:rPr>
        <w:t xml:space="preserve"> poder evitarlos.</w:t>
      </w:r>
    </w:p>
    <w:p w:rsidR="00945B13" w:rsidRDefault="00945B13">
      <w:pPr>
        <w:rPr>
          <w:rFonts w:ascii="Arial" w:eastAsia="Arial" w:hAnsi="Arial" w:cs="Arial"/>
          <w:sz w:val="22"/>
          <w:szCs w:val="22"/>
        </w:rPr>
      </w:pPr>
    </w:p>
    <w:p w:rsidR="00945B13" w:rsidRDefault="00945B1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kinesiólogo tratante suspenderá e  informará al médico tratante cada vez que se considere que está frente a un paciente con elevado riesgo de evento adverso y donde los procedimientos de kinesioterapia no sean beneficiosos.</w:t>
      </w:r>
    </w:p>
    <w:p w:rsidR="00945B13" w:rsidRDefault="00945B13">
      <w:pPr>
        <w:rPr>
          <w:rFonts w:ascii="Arial" w:eastAsia="Arial" w:hAnsi="Arial" w:cs="Arial"/>
          <w:sz w:val="22"/>
          <w:szCs w:val="22"/>
        </w:rPr>
      </w:pPr>
    </w:p>
    <w:p w:rsidR="00945B13" w:rsidRPr="00945B13" w:rsidRDefault="00945B1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nuestro CESFAM se monitorizará la prevención de eventos adversos ante uso de TENS</w:t>
      </w:r>
      <w:r w:rsidR="00934F2A">
        <w:rPr>
          <w:rFonts w:ascii="Arial" w:eastAsia="Arial" w:hAnsi="Arial" w:cs="Arial"/>
          <w:sz w:val="22"/>
          <w:szCs w:val="22"/>
        </w:rPr>
        <w:t xml:space="preserve"> a través de pauta de seguridad. (</w:t>
      </w:r>
      <w:proofErr w:type="gramStart"/>
      <w:r w:rsidR="00934F2A">
        <w:rPr>
          <w:rFonts w:ascii="Arial" w:eastAsia="Arial" w:hAnsi="Arial" w:cs="Arial"/>
          <w:sz w:val="22"/>
          <w:szCs w:val="22"/>
        </w:rPr>
        <w:t>anexo</w:t>
      </w:r>
      <w:proofErr w:type="gramEnd"/>
      <w:r w:rsidR="00934F2A">
        <w:rPr>
          <w:rFonts w:ascii="Arial" w:eastAsia="Arial" w:hAnsi="Arial" w:cs="Arial"/>
          <w:sz w:val="22"/>
          <w:szCs w:val="22"/>
        </w:rPr>
        <w:t xml:space="preserve"> 1)</w:t>
      </w:r>
    </w:p>
    <w:p w:rsidR="00945B13" w:rsidRDefault="00945B13">
      <w:pPr>
        <w:rPr>
          <w:rFonts w:ascii="Arial" w:eastAsia="Arial" w:hAnsi="Arial" w:cs="Arial"/>
          <w:b/>
          <w:sz w:val="22"/>
          <w:szCs w:val="22"/>
        </w:rPr>
      </w:pPr>
    </w:p>
    <w:p w:rsidR="00945B13" w:rsidRDefault="00945B13">
      <w:pPr>
        <w:rPr>
          <w:rFonts w:ascii="Arial" w:eastAsia="Arial" w:hAnsi="Arial" w:cs="Arial"/>
          <w:b/>
          <w:sz w:val="22"/>
          <w:szCs w:val="22"/>
        </w:rPr>
      </w:pPr>
    </w:p>
    <w:p w:rsidR="00945B13" w:rsidRDefault="00945B13">
      <w:pPr>
        <w:rPr>
          <w:rFonts w:ascii="Arial" w:eastAsia="Arial" w:hAnsi="Arial" w:cs="Arial"/>
          <w:b/>
          <w:sz w:val="22"/>
          <w:szCs w:val="22"/>
        </w:rPr>
      </w:pPr>
    </w:p>
    <w:p w:rsidR="003C32C2" w:rsidRDefault="00934F2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3C32C2" w:rsidRDefault="003C32C2">
      <w:pPr>
        <w:rPr>
          <w:rFonts w:ascii="Arial" w:eastAsia="Arial" w:hAnsi="Arial" w:cs="Arial"/>
          <w:b/>
          <w:sz w:val="22"/>
          <w:szCs w:val="22"/>
        </w:rPr>
      </w:pPr>
    </w:p>
    <w:p w:rsidR="007C09FF" w:rsidRDefault="007C09F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9.- Distribución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EB2939" w:rsidP="00EB293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Encargado/a CCR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</w:t>
      </w:r>
      <w:r w:rsidRPr="00510BE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Encargados/as de P</w:t>
      </w:r>
      <w:r w:rsidRPr="00510BE3">
        <w:rPr>
          <w:rFonts w:ascii="Arial" w:hAnsi="Arial" w:cs="Arial"/>
          <w:sz w:val="20"/>
          <w:szCs w:val="22"/>
        </w:rPr>
        <w:t xml:space="preserve">osta 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h. Encargados/as de Unidad </w:t>
      </w:r>
      <w:r w:rsidR="00EB2939">
        <w:rPr>
          <w:rFonts w:ascii="Arial" w:hAnsi="Arial" w:cs="Arial"/>
          <w:sz w:val="20"/>
          <w:szCs w:val="22"/>
        </w:rPr>
        <w:t>de Kinesiología</w:t>
      </w:r>
    </w:p>
    <w:p w:rsidR="007C09FF" w:rsidRDefault="007C09F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152FC6" w:rsidRPr="007B2A3F" w:rsidRDefault="007C09FF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:rsidR="007B2A3F" w:rsidRP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Anexo 1</w:t>
      </w:r>
    </w:p>
    <w:p w:rsidR="007B2A3F" w:rsidRP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FA091B" w:rsidRDefault="0019294C">
      <w:pPr>
        <w:rPr>
          <w:rFonts w:ascii="Arial" w:eastAsia="Arial" w:hAnsi="Arial" w:cs="Arial"/>
          <w:b/>
          <w:sz w:val="22"/>
          <w:szCs w:val="22"/>
        </w:rPr>
      </w:pPr>
      <w:r w:rsidRPr="0019294C"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>
            <wp:extent cx="6260465" cy="3998540"/>
            <wp:effectExtent l="0" t="0" r="6985" b="2540"/>
            <wp:docPr id="3" name="Imagen 3" descr="C:\Users\Dina Guerra\Desktop\pauta Kinesioterapia Respira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 Guerra\Desktop\pauta Kinesioterapia Respirator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39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C09FF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EB293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13/09</w:t>
            </w:r>
            <w:r w:rsidR="007C09FF">
              <w:rPr>
                <w:rFonts w:ascii="Arial" w:eastAsia="Arial" w:hAnsi="Arial" w:cs="Arial"/>
                <w:sz w:val="20"/>
                <w:szCs w:val="20"/>
              </w:rPr>
              <w:t>/2022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9"/>
      <w:headerReference w:type="first" r:id="rId10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77" w:rsidRDefault="001E5777">
      <w:r>
        <w:separator/>
      </w:r>
    </w:p>
  </w:endnote>
  <w:endnote w:type="continuationSeparator" w:id="0">
    <w:p w:rsidR="001E5777" w:rsidRDefault="001E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77" w:rsidRDefault="001E5777">
      <w:r>
        <w:separator/>
      </w:r>
    </w:p>
  </w:footnote>
  <w:footnote w:type="continuationSeparator" w:id="0">
    <w:p w:rsidR="001E5777" w:rsidRDefault="001E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87741E">
            <w:rPr>
              <w:rFonts w:ascii="Arial" w:eastAsia="Arial" w:hAnsi="Arial" w:cs="Arial"/>
              <w:sz w:val="18"/>
              <w:szCs w:val="18"/>
            </w:rPr>
            <w:t>APK 1.3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EB2939">
            <w:rPr>
              <w:rFonts w:ascii="Arial" w:eastAsia="Arial" w:hAnsi="Arial" w:cs="Arial"/>
              <w:sz w:val="18"/>
              <w:szCs w:val="18"/>
            </w:rPr>
            <w:t>Septiembre</w:t>
          </w:r>
          <w:r w:rsidR="007235A0">
            <w:rPr>
              <w:rFonts w:ascii="Arial" w:eastAsia="Arial" w:hAnsi="Arial" w:cs="Arial"/>
              <w:sz w:val="18"/>
              <w:szCs w:val="18"/>
            </w:rPr>
            <w:t xml:space="preserve"> 2022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743324">
            <w:rPr>
              <w:rFonts w:ascii="Arial" w:eastAsia="Arial" w:hAnsi="Arial" w:cs="Arial"/>
              <w:noProof/>
              <w:sz w:val="18"/>
              <w:szCs w:val="18"/>
            </w:rPr>
            <w:t>10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743324">
            <w:rPr>
              <w:rFonts w:ascii="Arial" w:eastAsia="Arial" w:hAnsi="Arial" w:cs="Arial"/>
              <w:noProof/>
              <w:sz w:val="18"/>
              <w:szCs w:val="18"/>
            </w:rPr>
            <w:t>10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7235A0" w:rsidP="00BC1A9E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PROTOCOLO </w:t>
          </w:r>
          <w:r w:rsidR="00BC1A9E">
            <w:rPr>
              <w:rFonts w:ascii="Arial" w:eastAsia="Arial" w:hAnsi="Arial" w:cs="Arial"/>
              <w:b/>
              <w:bCs/>
              <w:sz w:val="22"/>
              <w:szCs w:val="22"/>
            </w:rPr>
            <w:t>DE CONTRAINDICACIONES Y PREVENCIÓN DE EVENTOS ADVERSOS EN REHABILITACIÓN KINÉSICA.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743324">
            <w:rPr>
              <w:rFonts w:ascii="Arial" w:eastAsia="Arial" w:hAnsi="Arial" w:cs="Arial"/>
              <w:noProof/>
              <w:sz w:val="22"/>
              <w:szCs w:val="22"/>
            </w:rPr>
            <w:t>10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92B"/>
    <w:multiLevelType w:val="hybridMultilevel"/>
    <w:tmpl w:val="32B24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F78E3"/>
    <w:multiLevelType w:val="hybridMultilevel"/>
    <w:tmpl w:val="6A386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24889"/>
    <w:multiLevelType w:val="hybridMultilevel"/>
    <w:tmpl w:val="E75676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0">
    <w:nsid w:val="2A775038"/>
    <w:multiLevelType w:val="hybridMultilevel"/>
    <w:tmpl w:val="8D66E5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663745E"/>
    <w:multiLevelType w:val="hybridMultilevel"/>
    <w:tmpl w:val="F38034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034471"/>
    <w:multiLevelType w:val="hybridMultilevel"/>
    <w:tmpl w:val="B4BAD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1814EF"/>
    <w:multiLevelType w:val="hybridMultilevel"/>
    <w:tmpl w:val="AA842EA8"/>
    <w:lvl w:ilvl="0" w:tplc="538CA5E4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C15AD1"/>
    <w:multiLevelType w:val="hybridMultilevel"/>
    <w:tmpl w:val="C8AAC3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11"/>
  </w:num>
  <w:num w:numId="9">
    <w:abstractNumId w:val="19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3"/>
  </w:num>
  <w:num w:numId="16">
    <w:abstractNumId w:val="17"/>
  </w:num>
  <w:num w:numId="17">
    <w:abstractNumId w:val="0"/>
  </w:num>
  <w:num w:numId="18">
    <w:abstractNumId w:val="3"/>
  </w:num>
  <w:num w:numId="19">
    <w:abstractNumId w:val="12"/>
  </w:num>
  <w:num w:numId="20">
    <w:abstractNumId w:val="21"/>
  </w:num>
  <w:num w:numId="21">
    <w:abstractNumId w:val="8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D98"/>
    <w:rsid w:val="000206E5"/>
    <w:rsid w:val="000307D2"/>
    <w:rsid w:val="000322CF"/>
    <w:rsid w:val="00047717"/>
    <w:rsid w:val="00064A5D"/>
    <w:rsid w:val="000C2BFA"/>
    <w:rsid w:val="000E35BC"/>
    <w:rsid w:val="000F1C32"/>
    <w:rsid w:val="00121229"/>
    <w:rsid w:val="001342DB"/>
    <w:rsid w:val="0013768F"/>
    <w:rsid w:val="00152FC6"/>
    <w:rsid w:val="00171426"/>
    <w:rsid w:val="00174619"/>
    <w:rsid w:val="001853C1"/>
    <w:rsid w:val="0019294C"/>
    <w:rsid w:val="00193512"/>
    <w:rsid w:val="001B5082"/>
    <w:rsid w:val="001B514C"/>
    <w:rsid w:val="001E5777"/>
    <w:rsid w:val="002044FF"/>
    <w:rsid w:val="002473AC"/>
    <w:rsid w:val="002503FC"/>
    <w:rsid w:val="002978AB"/>
    <w:rsid w:val="002E301A"/>
    <w:rsid w:val="002E7E63"/>
    <w:rsid w:val="0032741A"/>
    <w:rsid w:val="00383D7C"/>
    <w:rsid w:val="00391520"/>
    <w:rsid w:val="003B33F1"/>
    <w:rsid w:val="003C32C2"/>
    <w:rsid w:val="004006CD"/>
    <w:rsid w:val="00442FD5"/>
    <w:rsid w:val="00481BB4"/>
    <w:rsid w:val="004A4F2E"/>
    <w:rsid w:val="004B7C09"/>
    <w:rsid w:val="004C7421"/>
    <w:rsid w:val="004F0F94"/>
    <w:rsid w:val="004F216E"/>
    <w:rsid w:val="00525A59"/>
    <w:rsid w:val="005763D5"/>
    <w:rsid w:val="00634501"/>
    <w:rsid w:val="00654F99"/>
    <w:rsid w:val="00656E2B"/>
    <w:rsid w:val="006762C2"/>
    <w:rsid w:val="0068467C"/>
    <w:rsid w:val="00684DFF"/>
    <w:rsid w:val="00687A43"/>
    <w:rsid w:val="006A10BB"/>
    <w:rsid w:val="006B6412"/>
    <w:rsid w:val="006F300E"/>
    <w:rsid w:val="007154D4"/>
    <w:rsid w:val="007235A0"/>
    <w:rsid w:val="00743324"/>
    <w:rsid w:val="0075474D"/>
    <w:rsid w:val="00770204"/>
    <w:rsid w:val="007B2A3F"/>
    <w:rsid w:val="007C09FF"/>
    <w:rsid w:val="007C75F7"/>
    <w:rsid w:val="007D614B"/>
    <w:rsid w:val="007E5C7F"/>
    <w:rsid w:val="007E6D55"/>
    <w:rsid w:val="00844EDF"/>
    <w:rsid w:val="00851B52"/>
    <w:rsid w:val="0087002A"/>
    <w:rsid w:val="00870415"/>
    <w:rsid w:val="00870EC1"/>
    <w:rsid w:val="0087741E"/>
    <w:rsid w:val="008C4FD1"/>
    <w:rsid w:val="008E4EC7"/>
    <w:rsid w:val="00900555"/>
    <w:rsid w:val="00910AD1"/>
    <w:rsid w:val="00917374"/>
    <w:rsid w:val="009245DC"/>
    <w:rsid w:val="00934F2A"/>
    <w:rsid w:val="009440E2"/>
    <w:rsid w:val="00945191"/>
    <w:rsid w:val="00945B13"/>
    <w:rsid w:val="00957737"/>
    <w:rsid w:val="009A4C19"/>
    <w:rsid w:val="009B4811"/>
    <w:rsid w:val="009B7683"/>
    <w:rsid w:val="00A16029"/>
    <w:rsid w:val="00A65BB1"/>
    <w:rsid w:val="00A77E92"/>
    <w:rsid w:val="00A966D4"/>
    <w:rsid w:val="00AC0FAC"/>
    <w:rsid w:val="00AC1714"/>
    <w:rsid w:val="00AC667A"/>
    <w:rsid w:val="00AF4FE8"/>
    <w:rsid w:val="00B32D72"/>
    <w:rsid w:val="00B41227"/>
    <w:rsid w:val="00B5000E"/>
    <w:rsid w:val="00B51F06"/>
    <w:rsid w:val="00B8476D"/>
    <w:rsid w:val="00B866FA"/>
    <w:rsid w:val="00BB2357"/>
    <w:rsid w:val="00BB5AC5"/>
    <w:rsid w:val="00BC1A9E"/>
    <w:rsid w:val="00C26A4A"/>
    <w:rsid w:val="00CC1F5A"/>
    <w:rsid w:val="00CC4A59"/>
    <w:rsid w:val="00CD4FD0"/>
    <w:rsid w:val="00D076FF"/>
    <w:rsid w:val="00D16624"/>
    <w:rsid w:val="00D233BF"/>
    <w:rsid w:val="00D27F43"/>
    <w:rsid w:val="00D31F78"/>
    <w:rsid w:val="00D41F74"/>
    <w:rsid w:val="00DD1A1A"/>
    <w:rsid w:val="00DF2064"/>
    <w:rsid w:val="00E143B8"/>
    <w:rsid w:val="00E3104D"/>
    <w:rsid w:val="00E34329"/>
    <w:rsid w:val="00E40352"/>
    <w:rsid w:val="00E513ED"/>
    <w:rsid w:val="00E558CC"/>
    <w:rsid w:val="00E7729C"/>
    <w:rsid w:val="00E82ECB"/>
    <w:rsid w:val="00E977C9"/>
    <w:rsid w:val="00EA1771"/>
    <w:rsid w:val="00EB2590"/>
    <w:rsid w:val="00EB2939"/>
    <w:rsid w:val="00EE72E5"/>
    <w:rsid w:val="00EF5C4A"/>
    <w:rsid w:val="00F37116"/>
    <w:rsid w:val="00F63F7A"/>
    <w:rsid w:val="00F77AB9"/>
    <w:rsid w:val="00FA091B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51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BC16-4C0D-42BE-8059-36F32CC4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9</cp:revision>
  <cp:lastPrinted>2024-06-28T15:14:00Z</cp:lastPrinted>
  <dcterms:created xsi:type="dcterms:W3CDTF">2022-11-16T10:56:00Z</dcterms:created>
  <dcterms:modified xsi:type="dcterms:W3CDTF">2024-06-28T15:14:00Z</dcterms:modified>
</cp:coreProperties>
</file>