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A4" w:rsidRDefault="00CD6DB5">
      <w:pPr>
        <w:spacing w:after="0"/>
        <w:ind w:left="34"/>
        <w:jc w:val="center"/>
      </w:pPr>
      <w:r>
        <w:rPr>
          <w:noProof/>
        </w:rPr>
        <w:drawing>
          <wp:inline distT="0" distB="0" distL="0" distR="0">
            <wp:extent cx="1298575" cy="1180554"/>
            <wp:effectExtent l="0" t="0" r="0" b="0"/>
            <wp:docPr id="173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180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</w:p>
    <w:p w:rsidR="001055A4" w:rsidRDefault="00CD6DB5">
      <w:pPr>
        <w:spacing w:after="268"/>
      </w:pPr>
      <w:r>
        <w:rPr>
          <w:color w:val="000000"/>
          <w:sz w:val="15"/>
          <w:szCs w:val="15"/>
        </w:rPr>
        <w:t xml:space="preserve"> </w:t>
      </w:r>
    </w:p>
    <w:p w:rsidR="001055A4" w:rsidRPr="004F598B" w:rsidRDefault="00CD6DB5" w:rsidP="004F598B">
      <w:pPr>
        <w:pStyle w:val="Ttulo1"/>
        <w:rPr>
          <w:rFonts w:ascii="Calibri" w:eastAsia="Calibri" w:hAnsi="Calibri" w:cs="Calibri"/>
          <w:sz w:val="30"/>
          <w:szCs w:val="30"/>
          <w:lang w:val="es-ES"/>
        </w:rPr>
      </w:pPr>
      <w:r w:rsidRPr="004F598B">
        <w:rPr>
          <w:rFonts w:ascii="Calibri" w:eastAsia="Calibri" w:hAnsi="Calibri" w:cs="Calibri"/>
          <w:sz w:val="30"/>
          <w:szCs w:val="30"/>
          <w:lang w:val="es-ES"/>
        </w:rPr>
        <w:t>ANEXO 1: Lineamiento Pueblos Indígenas - Programación en Red 2023</w:t>
      </w:r>
    </w:p>
    <w:p w:rsidR="001055A4" w:rsidRPr="004F598B" w:rsidRDefault="00CD6DB5" w:rsidP="004F598B">
      <w:pPr>
        <w:pStyle w:val="Ttulo1"/>
        <w:rPr>
          <w:rFonts w:ascii="Calibri" w:eastAsia="Calibri" w:hAnsi="Calibri" w:cs="Calibri"/>
          <w:sz w:val="30"/>
          <w:szCs w:val="30"/>
          <w:lang w:val="es-ES"/>
        </w:rPr>
      </w:pPr>
      <w:r w:rsidRPr="004F598B">
        <w:rPr>
          <w:rFonts w:ascii="Calibri" w:eastAsia="Calibri" w:hAnsi="Calibri" w:cs="Calibri"/>
          <w:sz w:val="30"/>
          <w:szCs w:val="30"/>
          <w:lang w:val="es-ES"/>
        </w:rPr>
        <w:t>Diagnóstico de Salud de los Pueblos Indígenas de Chile</w:t>
      </w:r>
      <w:r w:rsidRPr="004F598B">
        <w:rPr>
          <w:rFonts w:ascii="Calibri" w:eastAsia="Calibri" w:hAnsi="Calibri" w:cs="Calibri"/>
          <w:sz w:val="30"/>
          <w:szCs w:val="30"/>
          <w:lang w:val="es-ES"/>
        </w:rPr>
        <w:t xml:space="preserve"> </w:t>
      </w:r>
    </w:p>
    <w:p w:rsidR="001055A4" w:rsidRPr="004F598B" w:rsidRDefault="00CD6DB5">
      <w:pPr>
        <w:spacing w:after="176"/>
        <w:ind w:left="709" w:right="1015"/>
        <w:jc w:val="both"/>
        <w:rPr>
          <w:rFonts w:asciiTheme="minorHAnsi" w:hAnsiTheme="minorHAnsi"/>
        </w:rPr>
      </w:pPr>
      <w:bookmarkStart w:id="0" w:name="_heading=h.gjdgxs" w:colFirst="0" w:colLast="0"/>
      <w:bookmarkEnd w:id="0"/>
      <w:r w:rsidRPr="004F598B">
        <w:rPr>
          <w:rFonts w:asciiTheme="minorHAnsi" w:hAnsiTheme="minorHAnsi"/>
        </w:rPr>
        <w:t>La población potencial perteneciente a pueblos indígenas según el último Censo alcanza un 12,8% y corresponde a 2.185.732 personas distribuido en todo el territorio nacional, datos del Censo de Población y Vivienda 2017, desarrollado por el Instituto Nacio</w:t>
      </w:r>
      <w:r w:rsidRPr="004F598B">
        <w:rPr>
          <w:rFonts w:asciiTheme="minorHAnsi" w:hAnsiTheme="minorHAnsi"/>
        </w:rPr>
        <w:t xml:space="preserve">nal de Estadísticas (INE) (CENSO 2017). En Chile, la Ley 19.253 (1993), reconoce 9 pueblos indígenas: </w:t>
      </w:r>
      <w:proofErr w:type="spellStart"/>
      <w:r w:rsidRPr="004F598B">
        <w:rPr>
          <w:rFonts w:asciiTheme="minorHAnsi" w:hAnsiTheme="minorHAnsi"/>
        </w:rPr>
        <w:t>Kawésqar</w:t>
      </w:r>
      <w:proofErr w:type="spellEnd"/>
      <w:r w:rsidRPr="004F598B">
        <w:rPr>
          <w:rFonts w:asciiTheme="minorHAnsi" w:hAnsiTheme="minorHAnsi"/>
        </w:rPr>
        <w:t xml:space="preserve">, Atacameño, </w:t>
      </w:r>
      <w:proofErr w:type="spellStart"/>
      <w:r w:rsidRPr="004F598B">
        <w:rPr>
          <w:rFonts w:asciiTheme="minorHAnsi" w:hAnsiTheme="minorHAnsi"/>
        </w:rPr>
        <w:t>Aymara</w:t>
      </w:r>
      <w:proofErr w:type="spellEnd"/>
      <w:r w:rsidRPr="004F598B">
        <w:rPr>
          <w:rFonts w:asciiTheme="minorHAnsi" w:hAnsiTheme="minorHAnsi"/>
        </w:rPr>
        <w:t xml:space="preserve">, Colla, Diaguita, Mapuche, Quechua, Rapa </w:t>
      </w:r>
      <w:proofErr w:type="spellStart"/>
      <w:r w:rsidRPr="004F598B">
        <w:rPr>
          <w:rFonts w:asciiTheme="minorHAnsi" w:hAnsiTheme="minorHAnsi"/>
        </w:rPr>
        <w:t>Nui</w:t>
      </w:r>
      <w:proofErr w:type="spellEnd"/>
      <w:r w:rsidRPr="004F598B">
        <w:rPr>
          <w:rFonts w:asciiTheme="minorHAnsi" w:hAnsiTheme="minorHAnsi"/>
        </w:rPr>
        <w:t xml:space="preserve">, </w:t>
      </w:r>
      <w:proofErr w:type="spellStart"/>
      <w:r w:rsidRPr="004F598B">
        <w:rPr>
          <w:rFonts w:asciiTheme="minorHAnsi" w:hAnsiTheme="minorHAnsi"/>
        </w:rPr>
        <w:t>Yámana</w:t>
      </w:r>
      <w:proofErr w:type="spellEnd"/>
      <w:r w:rsidRPr="004F598B">
        <w:rPr>
          <w:rFonts w:asciiTheme="minorHAnsi" w:hAnsiTheme="minorHAnsi"/>
        </w:rPr>
        <w:t xml:space="preserve"> </w:t>
      </w:r>
      <w:r w:rsidRPr="004F598B">
        <w:rPr>
          <w:rFonts w:asciiTheme="minorHAnsi" w:eastAsia="Cambria" w:hAnsiTheme="minorHAnsi" w:cs="Cambria"/>
        </w:rPr>
        <w:t>(</w:t>
      </w:r>
      <w:proofErr w:type="spellStart"/>
      <w:r w:rsidRPr="004F598B">
        <w:rPr>
          <w:rFonts w:asciiTheme="minorHAnsi" w:eastAsia="Cambria" w:hAnsiTheme="minorHAnsi" w:cs="Cambria"/>
        </w:rPr>
        <w:t>yagán</w:t>
      </w:r>
      <w:proofErr w:type="spellEnd"/>
      <w:r w:rsidRPr="004F598B">
        <w:rPr>
          <w:rFonts w:asciiTheme="minorHAnsi" w:eastAsia="Cambria" w:hAnsiTheme="minorHAnsi" w:cs="Cambria"/>
        </w:rPr>
        <w:t xml:space="preserve">), y recientemente en proceso de reconocimiento del pueblo </w:t>
      </w:r>
      <w:proofErr w:type="spellStart"/>
      <w:r w:rsidRPr="004F598B">
        <w:rPr>
          <w:rFonts w:asciiTheme="minorHAnsi" w:eastAsia="Cambria" w:hAnsiTheme="minorHAnsi" w:cs="Cambria"/>
        </w:rPr>
        <w:t>Selk’nam</w:t>
      </w:r>
      <w:proofErr w:type="spellEnd"/>
      <w:r w:rsidRPr="004F598B">
        <w:rPr>
          <w:rFonts w:asciiTheme="minorHAnsi" w:eastAsia="Cambria" w:hAnsiTheme="minorHAnsi" w:cs="Cambria"/>
        </w:rPr>
        <w:t xml:space="preserve"> que pasó al Senado para</w:t>
      </w:r>
      <w:r w:rsidRPr="004F598B">
        <w:rPr>
          <w:rFonts w:asciiTheme="minorHAnsi" w:hAnsiTheme="minorHAnsi"/>
        </w:rPr>
        <w:t xml:space="preserve"> su tramitación. Datos del Censo 2017, INE, contabiliza 1500 personas en la Región de Magallanes. El mayor peso demográfico lo tiene el pueblo mapuche con un 79,8%, </w:t>
      </w:r>
      <w:proofErr w:type="spellStart"/>
      <w:r w:rsidRPr="004F598B">
        <w:rPr>
          <w:rFonts w:asciiTheme="minorHAnsi" w:hAnsiTheme="minorHAnsi"/>
        </w:rPr>
        <w:t>Aymara</w:t>
      </w:r>
      <w:proofErr w:type="spellEnd"/>
      <w:r w:rsidRPr="004F598B">
        <w:rPr>
          <w:rFonts w:asciiTheme="minorHAnsi" w:hAnsiTheme="minorHAnsi"/>
        </w:rPr>
        <w:t xml:space="preserve"> 7,2% y Diaguita 4,1%.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Pr="004F598B" w:rsidRDefault="00CD6DB5">
      <w:pPr>
        <w:spacing w:after="171"/>
        <w:ind w:left="709" w:right="1015"/>
        <w:jc w:val="both"/>
        <w:rPr>
          <w:rFonts w:asciiTheme="minorHAnsi" w:hAnsiTheme="minorHAnsi"/>
        </w:rPr>
      </w:pPr>
      <w:r w:rsidRPr="004F598B">
        <w:rPr>
          <w:rFonts w:asciiTheme="minorHAnsi" w:hAnsiTheme="minorHAnsi"/>
        </w:rPr>
        <w:t xml:space="preserve">Respecto de las regiones el panorama </w:t>
      </w:r>
      <w:r w:rsidRPr="004F598B">
        <w:rPr>
          <w:rFonts w:asciiTheme="minorHAnsi" w:hAnsiTheme="minorHAnsi"/>
        </w:rPr>
        <w:t>general del Censo indica que hay 9 regiones que están por sobre el 13% de población indígena, en relación a población total. Es necesario destacar que las siete regiones con mayor proporción de población indígena respecto al total de la población son Arica</w:t>
      </w:r>
      <w:r w:rsidRPr="004F598B">
        <w:rPr>
          <w:rFonts w:asciiTheme="minorHAnsi" w:hAnsiTheme="minorHAnsi"/>
        </w:rPr>
        <w:t xml:space="preserve"> y Parinacota (35,7%), La Araucanía (34,35), Aysén (28,7%), Los Lagos (28,2%), Los Ríos (25,6%), Tarapacá (24,9%) y Magallanes con un</w:t>
      </w:r>
      <w:r w:rsidRPr="004F598B">
        <w:rPr>
          <w:rFonts w:asciiTheme="minorHAnsi" w:hAnsiTheme="minorHAnsi"/>
          <w:color w:val="000000"/>
        </w:rPr>
        <w:t xml:space="preserve"> </w:t>
      </w:r>
      <w:r w:rsidRPr="004F598B">
        <w:rPr>
          <w:rFonts w:asciiTheme="minorHAnsi" w:hAnsiTheme="minorHAnsi"/>
        </w:rPr>
        <w:t>(23,1%).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Pr="004F598B" w:rsidRDefault="00CD6DB5">
      <w:pPr>
        <w:spacing w:after="191"/>
        <w:ind w:left="709" w:right="1015"/>
        <w:jc w:val="both"/>
        <w:rPr>
          <w:rFonts w:asciiTheme="minorHAnsi" w:hAnsiTheme="minorHAnsi"/>
        </w:rPr>
      </w:pPr>
      <w:r w:rsidRPr="004F598B">
        <w:rPr>
          <w:rFonts w:asciiTheme="minorHAnsi" w:hAnsiTheme="minorHAnsi"/>
        </w:rPr>
        <w:t xml:space="preserve">Población Fonasa Inscrita Validada Año </w:t>
      </w:r>
      <w:r w:rsidRPr="004F598B">
        <w:rPr>
          <w:rFonts w:asciiTheme="minorHAnsi" w:eastAsia="Cambria" w:hAnsiTheme="minorHAnsi" w:cs="Cambria"/>
        </w:rPr>
        <w:t>“t”:</w:t>
      </w:r>
      <w:r w:rsidRPr="004F598B">
        <w:rPr>
          <w:rFonts w:asciiTheme="minorHAnsi" w:hAnsiTheme="minorHAnsi"/>
        </w:rPr>
        <w:t xml:space="preserve"> La definición de Población Fonasa se construye sobre la base de pobl</w:t>
      </w:r>
      <w:r w:rsidRPr="004F598B">
        <w:rPr>
          <w:rFonts w:asciiTheme="minorHAnsi" w:hAnsiTheme="minorHAnsi"/>
        </w:rPr>
        <w:t>ación INE (población proyectada), donde se desglosa por región, provincia y comuna</w:t>
      </w:r>
      <w:r w:rsidRPr="004F598B">
        <w:rPr>
          <w:rFonts w:asciiTheme="minorHAnsi" w:hAnsiTheme="minorHAnsi"/>
          <w:vertAlign w:val="superscript"/>
        </w:rPr>
        <w:footnoteReference w:id="1"/>
      </w:r>
      <w:r w:rsidRPr="004F598B">
        <w:rPr>
          <w:rFonts w:asciiTheme="minorHAnsi" w:hAnsiTheme="minorHAnsi"/>
        </w:rPr>
        <w:t>. A dicha población se agrega la población que FONASA validó durante el año en curso (por ejemplo, población validada inscrita</w:t>
      </w:r>
      <w:r w:rsidRPr="004F598B">
        <w:rPr>
          <w:rFonts w:asciiTheme="minorHAnsi" w:hAnsiTheme="minorHAnsi"/>
          <w:color w:val="000000"/>
        </w:rPr>
        <w:t xml:space="preserve"> </w:t>
      </w:r>
      <w:r w:rsidRPr="004F598B">
        <w:rPr>
          <w:rFonts w:asciiTheme="minorHAnsi" w:eastAsia="Cambria" w:hAnsiTheme="minorHAnsi" w:cs="Cambria"/>
        </w:rPr>
        <w:t>–</w:t>
      </w:r>
      <w:r w:rsidRPr="004F598B">
        <w:rPr>
          <w:rFonts w:asciiTheme="minorHAnsi" w:hAnsiTheme="minorHAnsi"/>
        </w:rPr>
        <w:t xml:space="preserve"> 2020)</w:t>
      </w:r>
      <w:r w:rsidRPr="004F598B">
        <w:rPr>
          <w:rFonts w:asciiTheme="minorHAnsi" w:hAnsiTheme="minorHAnsi"/>
          <w:vertAlign w:val="superscript"/>
        </w:rPr>
        <w:footnoteReference w:id="2"/>
      </w:r>
      <w:r w:rsidRPr="004F598B">
        <w:rPr>
          <w:rFonts w:asciiTheme="minorHAnsi" w:hAnsiTheme="minorHAnsi"/>
        </w:rPr>
        <w:t>.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Pr="004F598B" w:rsidRDefault="00CD6DB5">
      <w:pPr>
        <w:spacing w:after="174"/>
        <w:ind w:left="709" w:right="1015"/>
        <w:jc w:val="both"/>
        <w:rPr>
          <w:rFonts w:asciiTheme="minorHAnsi" w:hAnsiTheme="minorHAnsi"/>
        </w:rPr>
      </w:pPr>
      <w:r w:rsidRPr="004F598B">
        <w:rPr>
          <w:rFonts w:asciiTheme="minorHAnsi" w:hAnsiTheme="minorHAnsi"/>
        </w:rPr>
        <w:t>En la definición de población objet</w:t>
      </w:r>
      <w:r w:rsidRPr="004F598B">
        <w:rPr>
          <w:rFonts w:asciiTheme="minorHAnsi" w:hAnsiTheme="minorHAnsi"/>
        </w:rPr>
        <w:t>ivo es importante revisar información de población inscrita FONASA, datos de la CASEN 2017, indica que el 86,4% de la población que pertenece a pueblos indígenas está adscrita al sistema público de salud. Esta información muestra que es indispensable el re</w:t>
      </w:r>
      <w:r w:rsidRPr="004F598B">
        <w:rPr>
          <w:rFonts w:asciiTheme="minorHAnsi" w:hAnsiTheme="minorHAnsi"/>
        </w:rPr>
        <w:t>gistro de la variable de pertenencia a pueblos originarios, pues sin este dato no es posible reunir información de morbimortalidad.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Pr="004F598B" w:rsidRDefault="00CD6DB5">
      <w:pPr>
        <w:spacing w:after="140"/>
        <w:ind w:left="709" w:right="1015"/>
        <w:jc w:val="both"/>
        <w:rPr>
          <w:rFonts w:asciiTheme="minorHAnsi" w:hAnsiTheme="minorHAnsi"/>
          <w:color w:val="000000"/>
        </w:rPr>
      </w:pPr>
      <w:r w:rsidRPr="004F598B">
        <w:rPr>
          <w:rFonts w:asciiTheme="minorHAnsi" w:hAnsiTheme="minorHAnsi"/>
        </w:rPr>
        <w:t xml:space="preserve">En la Casen 2017 también se reporta información respecto a Porcentaje de población que declara haber tenido algún problema </w:t>
      </w:r>
      <w:r w:rsidRPr="004F598B">
        <w:rPr>
          <w:rFonts w:asciiTheme="minorHAnsi" w:hAnsiTheme="minorHAnsi"/>
        </w:rPr>
        <w:t>para obtener atención, por pertenencia a pueblo indígena (29.5% año 2017).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  <w:rPr>
          <w:color w:val="000000"/>
        </w:rPr>
      </w:pPr>
    </w:p>
    <w:p w:rsidR="001055A4" w:rsidRDefault="001055A4">
      <w:pPr>
        <w:spacing w:after="140"/>
        <w:ind w:left="709" w:right="1015"/>
        <w:jc w:val="both"/>
      </w:pPr>
    </w:p>
    <w:p w:rsidR="001055A4" w:rsidRDefault="00CD6DB5">
      <w:pPr>
        <w:spacing w:after="0"/>
        <w:ind w:left="709"/>
      </w:pPr>
      <w:r>
        <w:rPr>
          <w:rFonts w:ascii="Cambria" w:eastAsia="Cambria" w:hAnsi="Cambria" w:cs="Cambria"/>
          <w:b/>
          <w:color w:val="0063AF"/>
          <w:sz w:val="20"/>
          <w:szCs w:val="20"/>
        </w:rPr>
        <w:t>TABLA N°1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:rsidR="001055A4" w:rsidRDefault="00CD6DB5">
      <w:pPr>
        <w:spacing w:after="0"/>
        <w:ind w:left="709" w:right="1643" w:hanging="709"/>
      </w:pPr>
      <w:r>
        <w:rPr>
          <w:rFonts w:ascii="Cambria" w:eastAsia="Cambria" w:hAnsi="Cambria" w:cs="Cambria"/>
          <w:b/>
          <w:color w:val="000000"/>
          <w:sz w:val="7"/>
          <w:szCs w:val="7"/>
        </w:rPr>
        <w:t xml:space="preserve"> </w:t>
      </w:r>
    </w:p>
    <w:tbl>
      <w:tblPr>
        <w:tblStyle w:val="a"/>
        <w:tblW w:w="8502" w:type="dxa"/>
        <w:tblInd w:w="1636" w:type="dxa"/>
        <w:tblLayout w:type="fixed"/>
        <w:tblLook w:val="0400" w:firstRow="0" w:lastRow="0" w:firstColumn="0" w:lastColumn="0" w:noHBand="0" w:noVBand="1"/>
      </w:tblPr>
      <w:tblGrid>
        <w:gridCol w:w="6487"/>
        <w:gridCol w:w="2015"/>
      </w:tblGrid>
      <w:tr w:rsidR="001055A4">
        <w:trPr>
          <w:trHeight w:val="386"/>
        </w:trPr>
        <w:tc>
          <w:tcPr>
            <w:tcW w:w="8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CC0"/>
          </w:tcPr>
          <w:p w:rsidR="001055A4" w:rsidRDefault="00CD6DB5">
            <w:pPr>
              <w:spacing w:line="259" w:lineRule="auto"/>
              <w:ind w:left="709" w:hanging="709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DEFINICION DE POBLACIÓN OBJETIVO PARA LA FOCALIZACIÓN DE PUEBLOS ORIGINARIOS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055A4">
        <w:trPr>
          <w:trHeight w:val="368"/>
        </w:trPr>
        <w:tc>
          <w:tcPr>
            <w:tcW w:w="6487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shd w:val="clear" w:color="auto" w:fill="EEF1FA"/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Fuente del Dato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shd w:val="clear" w:color="auto" w:fill="EEF1FA"/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Población Potencial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055A4">
        <w:trPr>
          <w:trHeight w:val="379"/>
        </w:trPr>
        <w:tc>
          <w:tcPr>
            <w:tcW w:w="648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Población Fonasa Inscrita Validada 2020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13.896.010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055A4">
        <w:trPr>
          <w:trHeight w:val="377"/>
        </w:trPr>
        <w:tc>
          <w:tcPr>
            <w:tcW w:w="648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Población Perteneciente a Pueblos Indígenas. CENSO 2017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2.185.792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055A4">
        <w:trPr>
          <w:trHeight w:val="374"/>
        </w:trPr>
        <w:tc>
          <w:tcPr>
            <w:tcW w:w="6487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% Población de pueblos indígenas adscrita a FONASA (CASEN 2017; 86,4 %)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1055A4" w:rsidRDefault="00CD6DB5">
            <w:pPr>
              <w:spacing w:line="259" w:lineRule="auto"/>
              <w:ind w:left="709" w:hanging="709"/>
            </w:pPr>
            <w:r>
              <w:rPr>
                <w:sz w:val="20"/>
                <w:szCs w:val="20"/>
              </w:rPr>
              <w:t>1.888.524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055A4" w:rsidRDefault="00CD6DB5">
      <w:pPr>
        <w:spacing w:after="0"/>
        <w:ind w:left="709" w:hanging="709"/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</w:p>
    <w:p w:rsidR="001055A4" w:rsidRDefault="00CD6DB5">
      <w:pPr>
        <w:spacing w:after="0"/>
        <w:ind w:left="709" w:hanging="709"/>
      </w:pPr>
      <w:r>
        <w:rPr>
          <w:rFonts w:ascii="Cambria" w:eastAsia="Cambria" w:hAnsi="Cambria" w:cs="Cambria"/>
          <w:b/>
          <w:color w:val="000000"/>
          <w:sz w:val="11"/>
          <w:szCs w:val="11"/>
        </w:rPr>
        <w:t xml:space="preserve"> </w:t>
      </w:r>
    </w:p>
    <w:p w:rsidR="001055A4" w:rsidRDefault="00CD6DB5">
      <w:pPr>
        <w:spacing w:after="176"/>
        <w:ind w:left="709" w:right="1015"/>
        <w:jc w:val="both"/>
      </w:pPr>
      <w:r>
        <w:t xml:space="preserve">El perfil de salud de la población indígena de Chile presenta un </w:t>
      </w:r>
      <w:r>
        <w:rPr>
          <w:rFonts w:ascii="Cambria" w:eastAsia="Cambria" w:hAnsi="Cambria" w:cs="Cambria"/>
        </w:rPr>
        <w:t>“patrón</w:t>
      </w:r>
      <w:r>
        <w:t xml:space="preserve"> epidemiológico de transición prolongada y polarizada, en que persisten simultáneamente altos niveles de infecciones comunes, enfermedades degenerativas-crónicas y lesiones, en un contexto de agudización de las desigualdades sociales en materia de </w:t>
      </w:r>
      <w:r>
        <w:rPr>
          <w:rFonts w:ascii="Cambria" w:eastAsia="Cambria" w:hAnsi="Cambria" w:cs="Cambria"/>
        </w:rPr>
        <w:t>salud”</w:t>
      </w:r>
      <w:r>
        <w:t xml:space="preserve"> d</w:t>
      </w:r>
      <w:r>
        <w:t>e acuerdo a estudios epidemiológicos efectuados por MINSAL (2007 al 2015). Tales comorbilidades hacen que estas personas sean más vulnerables a las complicaciones que está generando la enfermedad por COVID 19, lo que genera preocupación sobre cómo podría c</w:t>
      </w:r>
      <w:r>
        <w:t>omportarse la epidemia en la población indígena, en términos de evolución y gravedad.</w:t>
      </w:r>
      <w:r>
        <w:rPr>
          <w:color w:val="000000"/>
        </w:rPr>
        <w:t xml:space="preserve"> </w:t>
      </w:r>
    </w:p>
    <w:p w:rsidR="001055A4" w:rsidRDefault="00CD6DB5">
      <w:pPr>
        <w:spacing w:after="176"/>
        <w:ind w:left="709" w:right="1015"/>
        <w:jc w:val="both"/>
      </w:pPr>
      <w:r>
        <w:t>A este complejo escenario, se suma la condición socioeconómica de la población indígena. De acuerdo a datos entregados por la Encuesta CASEN 2017, el 14,2 % de las perso</w:t>
      </w:r>
      <w:r>
        <w:t>nas pertenecientes a pueblos indígenas se encuentran en una situación de pobreza por ingreso, en comparación con el 8,0% para población no indígena. Así también, el 30,3% de la población indígena se encuentra en situación de pobreza multidimensional, prese</w:t>
      </w:r>
      <w:r>
        <w:t>ntando una brecha de 10,5% respecto de la población no indígena. Respecto de su situación de saneamiento ambiental, en muchas comunidades rurales hay ausencia de servicios básicos lo que agudiza las condiciones de vulnerabilidad frente a la actual emergenc</w:t>
      </w:r>
      <w:r>
        <w:t>ia sanitaria por COVID-19.</w:t>
      </w:r>
      <w:r>
        <w:rPr>
          <w:color w:val="000000"/>
        </w:rPr>
        <w:t xml:space="preserve"> </w:t>
      </w:r>
    </w:p>
    <w:p w:rsidR="001055A4" w:rsidRDefault="00CD6DB5">
      <w:pPr>
        <w:spacing w:after="44"/>
        <w:ind w:left="709" w:right="1015"/>
        <w:jc w:val="both"/>
      </w:pPr>
      <w:r>
        <w:t>En consecuencia, existe una especial preocupación por garantizar a los pueblos indígenas el oportuno y adecuado acceso a la Red de Atención de Salud, promoviendo la Equidad y Pertinencia cultural de las acciones y estrategias vi</w:t>
      </w:r>
      <w:r>
        <w:t>nculadas a promoción, prevención, tratamiento y rehabilitación, en el marco del actual contexto epidemiológico que enfrenta el país producto del COVID-19, y particularmente de las condiciones necesarias para contribuir al control de la curva de contagios d</w:t>
      </w:r>
      <w:r>
        <w:t>e personas pertenecientes a pueblos originarios, favorecer el acceso a la medicina indígena como coadyuvante en la recuperación de la enfermedad y registrar la variable de pertenencia a pueblos originarios, tal como está consignando en la normativa ministe</w:t>
      </w:r>
      <w:r>
        <w:t>rial, Norma N°820, Decreto Exento N° 643, vigente desde el 2016.</w:t>
      </w:r>
      <w:r>
        <w:rPr>
          <w:color w:val="000000"/>
        </w:rPr>
        <w:t xml:space="preserve"> </w:t>
      </w:r>
    </w:p>
    <w:p w:rsidR="001055A4" w:rsidRDefault="00CD6DB5">
      <w:pPr>
        <w:spacing w:after="0"/>
        <w:ind w:left="709" w:hanging="709"/>
        <w:jc w:val="both"/>
      </w:pPr>
      <w:r>
        <w:rPr>
          <w:color w:val="000000"/>
          <w:sz w:val="26"/>
          <w:szCs w:val="26"/>
        </w:rPr>
        <w:t xml:space="preserve"> </w:t>
      </w:r>
    </w:p>
    <w:p w:rsidR="001055A4" w:rsidRPr="004F598B" w:rsidRDefault="00CD6DB5">
      <w:pPr>
        <w:pStyle w:val="Ttulo2"/>
        <w:ind w:left="709"/>
        <w:jc w:val="both"/>
        <w:rPr>
          <w:rFonts w:asciiTheme="minorHAnsi" w:hAnsiTheme="minorHAnsi"/>
        </w:rPr>
      </w:pPr>
      <w:r w:rsidRPr="004F598B">
        <w:rPr>
          <w:rFonts w:asciiTheme="minorHAnsi" w:hAnsiTheme="minorHAnsi"/>
        </w:rPr>
        <w:t>ENFOQUE DE DERECHOS Y NO DISCRIMINACIÓN</w:t>
      </w:r>
      <w:r w:rsidRPr="004F598B">
        <w:rPr>
          <w:rFonts w:asciiTheme="minorHAnsi" w:hAnsiTheme="minorHAnsi"/>
          <w:color w:val="000000"/>
        </w:rPr>
        <w:t xml:space="preserve"> </w:t>
      </w:r>
    </w:p>
    <w:p w:rsidR="001055A4" w:rsidRDefault="00CD6DB5">
      <w:pPr>
        <w:spacing w:after="171"/>
        <w:ind w:left="709" w:right="1015"/>
        <w:jc w:val="both"/>
      </w:pPr>
      <w:r>
        <w:t>El Ministerio de Salud ha mantenido desde el año 1996 una línea técnica de salud y pueblos indígenas, cuya finalidad ha sido contribuir a la Equida</w:t>
      </w:r>
      <w:r>
        <w:t>d, propiciando mejorar la situación de salud de los pueblos, a través de la incorporación del enfoque intercultural en el desarrollo e implementación de políticas, programas, normas y de un modelo de atención de salud con pertinencia cultural, de acuerdo c</w:t>
      </w:r>
      <w:r>
        <w:t xml:space="preserve">on la realidad del territorio  en que residen las personas perteneciente a los 9 pueblos indígenas reconocidos por la Ley Indígena y 2 en proceso de reconocimiento. </w:t>
      </w:r>
    </w:p>
    <w:p w:rsidR="001055A4" w:rsidRDefault="00CD6DB5">
      <w:pPr>
        <w:ind w:left="709" w:right="1015"/>
        <w:jc w:val="both"/>
      </w:pPr>
      <w:r>
        <w:lastRenderedPageBreak/>
        <w:t>En el contexto específico de declaración de la OMS por pandemia COVID-19, diversos organismos internacionales vienen tomando un conjunto de medidas y recomendaciones especiales y excepcionales para abordar la emergencia sanitaria en contextos indígenas.</w:t>
      </w:r>
      <w:r>
        <w:rPr>
          <w:color w:val="000000"/>
        </w:rPr>
        <w:t xml:space="preserve"> </w:t>
      </w:r>
    </w:p>
    <w:p w:rsidR="001055A4" w:rsidRDefault="00CD6DB5" w:rsidP="004F598B">
      <w:pPr>
        <w:spacing w:after="172"/>
        <w:ind w:left="709" w:right="113"/>
        <w:jc w:val="both"/>
      </w:pPr>
      <w:r>
        <w:t>De lo que se sabe hasta la fecha la pandemia está generando un gran impacto en la salud y la vida de los pueblos indígenas a nivel global, de ahí la importancia de contar con recomendaciones para la promoción, prevención, y atención de salud, a nivel local</w:t>
      </w:r>
      <w:r>
        <w:t>, que consideren las particularidades epidemiológicas, culturales, territoriales y sociodemográficas, con un enfoque de Derechos de los Pueblos, a la hora de la Planificación y Programación en Red de los establecimientos de Salud Pública.</w:t>
      </w:r>
      <w:r>
        <w:rPr>
          <w:color w:val="000000"/>
        </w:rPr>
        <w:t xml:space="preserve"> </w:t>
      </w:r>
    </w:p>
    <w:p w:rsidR="001055A4" w:rsidRPr="004F598B" w:rsidRDefault="00CD6DB5">
      <w:pPr>
        <w:pStyle w:val="Ttulo3"/>
        <w:ind w:left="709" w:firstLine="0"/>
        <w:jc w:val="both"/>
        <w:rPr>
          <w:rFonts w:asciiTheme="minorHAnsi" w:hAnsiTheme="minorHAnsi"/>
          <w:color w:val="0063AF"/>
          <w:sz w:val="26"/>
        </w:rPr>
      </w:pPr>
      <w:r w:rsidRPr="004F598B">
        <w:rPr>
          <w:rFonts w:asciiTheme="minorHAnsi" w:hAnsiTheme="minorHAnsi"/>
          <w:color w:val="0063AF"/>
          <w:sz w:val="26"/>
        </w:rPr>
        <w:t>NO DISCRIMINACIÓ</w:t>
      </w:r>
      <w:r w:rsidRPr="004F598B">
        <w:rPr>
          <w:rFonts w:asciiTheme="minorHAnsi" w:hAnsiTheme="minorHAnsi"/>
          <w:color w:val="0063AF"/>
          <w:sz w:val="26"/>
        </w:rPr>
        <w:t xml:space="preserve">N </w:t>
      </w:r>
    </w:p>
    <w:p w:rsidR="001055A4" w:rsidRDefault="00CD6DB5">
      <w:pPr>
        <w:spacing w:after="57"/>
        <w:ind w:left="709"/>
        <w:jc w:val="both"/>
      </w:pPr>
      <w:r>
        <w:t xml:space="preserve"> </w:t>
      </w:r>
    </w:p>
    <w:p w:rsidR="001055A4" w:rsidRDefault="00CD6DB5">
      <w:pPr>
        <w:spacing w:after="28"/>
        <w:ind w:left="709" w:right="1015"/>
        <w:jc w:val="both"/>
      </w:pPr>
      <w:r>
        <w:rPr>
          <w:rFonts w:ascii="Cambria" w:eastAsia="Cambria" w:hAnsi="Cambria" w:cs="Cambria"/>
        </w:rPr>
        <w:t>Según la Observación General Nº 18 (ONU) sobre “No Discriminación” se entenderá por discriminación “Toda</w:t>
      </w:r>
      <w:r>
        <w:t xml:space="preserve"> distinción, exclusión, restricción o preferencia que se basen en determinados motivos, como la raza, el color, el sexo, el idioma, la religión, la</w:t>
      </w:r>
      <w:r>
        <w:t xml:space="preserve"> opinión política o de otra índole, el origen nacional o social, la posición económica, el nacimiento o cualquier otra condición social, y que tengan por objeto o por resultado anular o menoscabar el reconocimiento, goce o ejercicio, en condiciones de igua</w:t>
      </w:r>
      <w:r>
        <w:t xml:space="preserve">ldad, de los derechos humanos y libertades fundamentales de todas las </w:t>
      </w:r>
      <w:r>
        <w:rPr>
          <w:rFonts w:ascii="Cambria" w:eastAsia="Cambria" w:hAnsi="Cambria" w:cs="Cambria"/>
        </w:rPr>
        <w:t>personas”.</w:t>
      </w:r>
      <w:r>
        <w:rPr>
          <w:color w:val="000000"/>
        </w:rPr>
        <w:t xml:space="preserve"> </w:t>
      </w:r>
    </w:p>
    <w:p w:rsidR="001055A4" w:rsidRDefault="001055A4">
      <w:pPr>
        <w:spacing w:after="28"/>
        <w:ind w:left="709" w:right="1015"/>
        <w:jc w:val="both"/>
      </w:pPr>
    </w:p>
    <w:p w:rsidR="001055A4" w:rsidRDefault="00CD6DB5">
      <w:pPr>
        <w:spacing w:after="28"/>
        <w:ind w:left="709" w:right="1015"/>
        <w:jc w:val="both"/>
      </w:pPr>
      <w:r>
        <w:t xml:space="preserve">Es importante señalar que una de las obligaciones del Estado es garantizar la seguridad social y el acceso a los servicios para toda la población y que el personal de salud </w:t>
      </w:r>
      <w:r>
        <w:t>tiene la obligación de conocer su población adscrita al centro de salud, siguiendo los principios del Modelo de Salud Integral Familiar y Comunitaria (MAIS), el respeto a los derechos humanos en general y de los pueblos indígenas en particular. El propósit</w:t>
      </w:r>
      <w:r>
        <w:t>o, es desarrollar procesos de mejora continua en la atención de salud de los pueblos indígenas basados en la implementación de un modelo de salud intercultural en la red pública, destinados a mejorar la pertinencia cultural de las intervenciones de salud.</w:t>
      </w:r>
    </w:p>
    <w:p w:rsidR="001055A4" w:rsidRDefault="001055A4">
      <w:pPr>
        <w:spacing w:after="0"/>
        <w:ind w:left="709"/>
        <w:jc w:val="both"/>
      </w:pPr>
    </w:p>
    <w:p w:rsidR="001055A4" w:rsidRPr="004F598B" w:rsidRDefault="00CD6DB5" w:rsidP="004F598B">
      <w:pPr>
        <w:pStyle w:val="Ttulo3"/>
        <w:ind w:left="709" w:firstLine="0"/>
        <w:jc w:val="both"/>
        <w:rPr>
          <w:rFonts w:asciiTheme="minorHAnsi" w:hAnsiTheme="minorHAnsi"/>
          <w:color w:val="0063AF"/>
          <w:sz w:val="26"/>
        </w:rPr>
      </w:pPr>
      <w:r w:rsidRPr="004F598B">
        <w:rPr>
          <w:rFonts w:asciiTheme="minorHAnsi" w:hAnsiTheme="minorHAnsi"/>
          <w:color w:val="0063AF"/>
          <w:sz w:val="26"/>
        </w:rPr>
        <w:t>OBJETIVOS</w:t>
      </w:r>
    </w:p>
    <w:p w:rsidR="001055A4" w:rsidRDefault="00CD6DB5">
      <w:pPr>
        <w:pStyle w:val="Ttulo3"/>
        <w:spacing w:after="111"/>
        <w:ind w:left="709" w:firstLine="0"/>
        <w:jc w:val="both"/>
      </w:pPr>
      <w:r>
        <w:rPr>
          <w:color w:val="000000"/>
        </w:rPr>
        <w:t xml:space="preserve"> </w:t>
      </w:r>
    </w:p>
    <w:p w:rsidR="001055A4" w:rsidRDefault="00CD6DB5">
      <w:pPr>
        <w:numPr>
          <w:ilvl w:val="0"/>
          <w:numId w:val="2"/>
        </w:numPr>
        <w:spacing w:after="113" w:line="251" w:lineRule="auto"/>
        <w:ind w:left="709" w:right="1015" w:hanging="283"/>
        <w:jc w:val="both"/>
      </w:pPr>
      <w:r>
        <w:t>Adecuar las acciones de Planificación y Programación en Red promoviendo otorgar pertinencia cultural a las medidas de prevención, mitigación y contención del COVID-19 en población indígena, considerando características socioculturales, ambient</w:t>
      </w:r>
      <w:r>
        <w:t>ales y epidemiológicas.</w:t>
      </w:r>
      <w:r>
        <w:rPr>
          <w:color w:val="000000"/>
        </w:rPr>
        <w:t xml:space="preserve"> </w:t>
      </w:r>
    </w:p>
    <w:p w:rsidR="001055A4" w:rsidRDefault="00CD6DB5">
      <w:pPr>
        <w:numPr>
          <w:ilvl w:val="0"/>
          <w:numId w:val="2"/>
        </w:numPr>
        <w:spacing w:after="113" w:line="251" w:lineRule="auto"/>
        <w:ind w:left="709" w:right="1015" w:hanging="283"/>
        <w:jc w:val="both"/>
      </w:pPr>
      <w:r>
        <w:t>Fortalecer acciones y respuestas del personal de salud para asegurar la equidad en el acceso a la atención de salud y tratamiento de brotes, casos sospechosos y activos de personas con COVID 19 pertenecientes a pueblos indígenas, e</w:t>
      </w:r>
      <w:r>
        <w:t>n condiciones de mayor vulnerabilidad, debido a las barreras de acceso,  administrativas, demográficas, culturales e idiomáticas frente a esta pandemia COVID-19.</w:t>
      </w:r>
      <w:r>
        <w:rPr>
          <w:color w:val="000000"/>
        </w:rPr>
        <w:t xml:space="preserve"> </w:t>
      </w:r>
    </w:p>
    <w:p w:rsidR="001055A4" w:rsidRDefault="00CD6DB5">
      <w:pPr>
        <w:numPr>
          <w:ilvl w:val="0"/>
          <w:numId w:val="2"/>
        </w:numPr>
        <w:spacing w:after="113" w:line="251" w:lineRule="auto"/>
        <w:ind w:left="709" w:right="1015" w:hanging="283"/>
        <w:jc w:val="both"/>
      </w:pPr>
      <w:r>
        <w:t>Reforzar el registro de la variable de pertenencia a pueblos indígena de la población inscrit</w:t>
      </w:r>
      <w:r>
        <w:t>a validada y en los sistemas de notificación de enfermedades obligatorias EPIVIGILA y otros registros administrativos y clínicos de salud (Hojas diarias, REM, Cartolas de Familia, etc.) usados en el marco de esta pandemia, que permitan adaptar culturalment</w:t>
      </w:r>
      <w:r>
        <w:t>e las medidas de prevención, manejo y contención del COVID-19. Además de desarrollar una epidemiología actualizada de pueblos originarios.</w:t>
      </w:r>
      <w:r>
        <w:rPr>
          <w:color w:val="000000"/>
        </w:rPr>
        <w:t xml:space="preserve"> </w:t>
      </w:r>
    </w:p>
    <w:p w:rsidR="001055A4" w:rsidRDefault="00CD6DB5">
      <w:pPr>
        <w:numPr>
          <w:ilvl w:val="0"/>
          <w:numId w:val="2"/>
        </w:numPr>
        <w:spacing w:after="113" w:line="251" w:lineRule="auto"/>
        <w:ind w:left="709" w:right="1015" w:hanging="283"/>
        <w:jc w:val="both"/>
      </w:pPr>
      <w:r>
        <w:t>Fortalecer acciones y respuestas del personal de salud que permitan respetar el derecho de personas pertenecientes a</w:t>
      </w:r>
      <w:r>
        <w:t xml:space="preserve"> pueblos indígenas a ser tratados por más de un sistema médico (complementariedad), resguardando derecho a utilizar medicinas indígenas y a incorporar sus modelos de buen vivir.</w:t>
      </w:r>
      <w:r>
        <w:rPr>
          <w:color w:val="000000"/>
        </w:rPr>
        <w:t xml:space="preserve"> </w:t>
      </w:r>
    </w:p>
    <w:p w:rsidR="001055A4" w:rsidRDefault="00CD6DB5">
      <w:pPr>
        <w:numPr>
          <w:ilvl w:val="0"/>
          <w:numId w:val="2"/>
        </w:numPr>
        <w:spacing w:after="113" w:line="251" w:lineRule="auto"/>
        <w:ind w:left="709" w:right="1015" w:hanging="283"/>
        <w:jc w:val="both"/>
      </w:pPr>
      <w:r>
        <w:t xml:space="preserve">Promover la </w:t>
      </w:r>
      <w:proofErr w:type="spellStart"/>
      <w:r>
        <w:t>transversalización</w:t>
      </w:r>
      <w:proofErr w:type="spellEnd"/>
      <w:r>
        <w:t xml:space="preserve"> del enfoque intercultural, el todas los Progra</w:t>
      </w:r>
      <w:r>
        <w:t>mas de promoción, prevención tratamiento y rehabilitación en la red asistencial.</w:t>
      </w:r>
      <w:r>
        <w:rPr>
          <w:color w:val="000000"/>
        </w:rPr>
        <w:t xml:space="preserve"> </w:t>
      </w:r>
    </w:p>
    <w:p w:rsidR="001055A4" w:rsidRDefault="001055A4">
      <w:pPr>
        <w:pStyle w:val="Ttulo4"/>
        <w:ind w:left="709" w:firstLine="0"/>
        <w:jc w:val="both"/>
      </w:pPr>
    </w:p>
    <w:p w:rsidR="001055A4" w:rsidRDefault="00CD6DB5" w:rsidP="004F598B">
      <w:pPr>
        <w:pStyle w:val="Ttulo3"/>
        <w:ind w:left="709" w:firstLine="0"/>
        <w:jc w:val="both"/>
      </w:pPr>
      <w:r w:rsidRPr="004F598B">
        <w:rPr>
          <w:rFonts w:asciiTheme="minorHAnsi" w:hAnsiTheme="minorHAnsi"/>
          <w:color w:val="0063AF"/>
          <w:sz w:val="26"/>
        </w:rPr>
        <w:t>ESTRATEGIAS PARA MEJORAR EL REGISTRO DE LA VARIABLE DE PERTENENCIA A PUEBLOS INDÍGENAS</w:t>
      </w:r>
      <w:r w:rsidRPr="004F598B">
        <w:rPr>
          <w:rFonts w:asciiTheme="minorHAnsi" w:hAnsiTheme="minorHAnsi"/>
          <w:color w:val="0063AF"/>
          <w:sz w:val="26"/>
        </w:rPr>
        <w:t xml:space="preserve"> </w:t>
      </w:r>
    </w:p>
    <w:p w:rsidR="001055A4" w:rsidRDefault="00CD6DB5">
      <w:pPr>
        <w:spacing w:after="176" w:line="250" w:lineRule="auto"/>
        <w:ind w:left="709" w:right="1008"/>
        <w:jc w:val="both"/>
      </w:pPr>
      <w:r>
        <w:t>Para mejorar los registros es necesario trabajar en varias líneas. Algunas de ellas son la difusión de las Normas de Estandarización y Registro en Salud, las Orientaciones Técnicas para reforzar la realización de la pregunta por pertenencia a pueblos indíg</w:t>
      </w:r>
      <w:r>
        <w:t xml:space="preserve">enas en los establecimientos de APS, capacitación a personal de salud, sensibilización a  la población usuaria, monitoreo de los registros, etc. </w:t>
      </w:r>
    </w:p>
    <w:p w:rsidR="001055A4" w:rsidRDefault="00CD6DB5">
      <w:pPr>
        <w:spacing w:after="176" w:line="250" w:lineRule="auto"/>
        <w:ind w:left="709" w:right="1008"/>
        <w:jc w:val="both"/>
      </w:pPr>
      <w:r>
        <w:t>Además se recomienda, diferenciar las estrategias de mejora para aquellos sistemas que registran en forma agru</w:t>
      </w:r>
      <w:r>
        <w:t xml:space="preserve">pada, tales como los Resúmenes Estadísticos Mensuales (REM) y los sistemas que permiten la identificación de la persona por pueblos indígenas (según ley 19.253). </w:t>
      </w:r>
    </w:p>
    <w:p w:rsidR="001055A4" w:rsidRDefault="00CD6DB5">
      <w:pPr>
        <w:spacing w:after="176" w:line="250" w:lineRule="auto"/>
        <w:ind w:left="709" w:right="1008"/>
        <w:jc w:val="both"/>
      </w:pPr>
      <w:r>
        <w:t xml:space="preserve">Para los primeros, es necesario reforzar a nivel de establecimientos el adecuado registro de </w:t>
      </w:r>
      <w:r>
        <w:t>este dato en los registros clínicos de manera que el establecimiento logre dar cuenta de estas poblaciones específicas. Generar una mesa de trabajo con TIC y DEIS para asegurar que los datos registrados en REM sean coherentes con los datos que se encuentra</w:t>
      </w:r>
      <w:r>
        <w:t xml:space="preserve">n en la ficha clínica electrónica. </w:t>
      </w:r>
    </w:p>
    <w:p w:rsidR="001055A4" w:rsidRDefault="00CD6DB5">
      <w:pPr>
        <w:spacing w:after="176" w:line="250" w:lineRule="auto"/>
        <w:ind w:left="709" w:right="1008"/>
        <w:jc w:val="both"/>
      </w:pPr>
      <w:r>
        <w:t>En la actualidad, las actividades y prestaciones de salud que entrega el sistema público, se caracterizan por tener una baja pertinencia cultural en la ejecución de las atenciones, por una parte, dado por el bajo nivel d</w:t>
      </w:r>
      <w:r>
        <w:t>e identificación de la población objetivo en los sistemas oficiales de registros y por otra, por el desconocimiento de las concepciones de salud-enfermedad-curación que poseen los pueblos indígenas, sus valores, prácticas de sanación y concepción de bienes</w:t>
      </w:r>
      <w:r>
        <w:t xml:space="preserve">tar. </w:t>
      </w:r>
    </w:p>
    <w:p w:rsidR="001055A4" w:rsidRDefault="00CD6DB5">
      <w:pPr>
        <w:pStyle w:val="Ttulo3"/>
        <w:ind w:left="709" w:firstLine="0"/>
        <w:jc w:val="both"/>
      </w:pPr>
      <w:r w:rsidRPr="004F598B">
        <w:rPr>
          <w:rFonts w:asciiTheme="minorHAnsi" w:hAnsiTheme="minorHAnsi"/>
          <w:color w:val="0063AF"/>
          <w:sz w:val="26"/>
        </w:rPr>
        <w:t xml:space="preserve">TRANSVERSALIZACIÓN </w:t>
      </w:r>
    </w:p>
    <w:p w:rsidR="001055A4" w:rsidRDefault="00CD6DB5">
      <w:pPr>
        <w:ind w:left="709" w:right="1015"/>
        <w:jc w:val="both"/>
      </w:pPr>
      <w:r>
        <w:t xml:space="preserve">La Política de Salud con Pueblos Indígenas, 2006 del Ministerio de Salud, ha buscado propiciar la </w:t>
      </w:r>
      <w:proofErr w:type="spellStart"/>
      <w:r>
        <w:t>transversalización</w:t>
      </w:r>
      <w:proofErr w:type="spellEnd"/>
      <w:r>
        <w:t xml:space="preserve"> de sus principios a través de diversos instrumentos técnicos de orientación para apoyar la gestión de planificac</w:t>
      </w:r>
      <w:r>
        <w:t xml:space="preserve">ión y programación, en los Servicios de Salud y establecimientos de la red asistencial. Algunos de estos instrumentos son: </w:t>
      </w:r>
    </w:p>
    <w:p w:rsidR="001055A4" w:rsidRDefault="00CD6DB5">
      <w:pPr>
        <w:numPr>
          <w:ilvl w:val="0"/>
          <w:numId w:val="3"/>
        </w:numPr>
        <w:spacing w:after="113" w:line="251" w:lineRule="auto"/>
        <w:ind w:left="709" w:right="1015" w:hanging="283"/>
        <w:jc w:val="both"/>
      </w:pPr>
      <w:r>
        <w:t xml:space="preserve">Orientaciones Técnicas para la Atención de Salud Mental con Pueblos Indígenas, 2016 www.biblioteca- minsal.cl </w:t>
      </w:r>
    </w:p>
    <w:p w:rsidR="001055A4" w:rsidRDefault="00CD6DB5">
      <w:pPr>
        <w:numPr>
          <w:ilvl w:val="0"/>
          <w:numId w:val="3"/>
        </w:numPr>
        <w:spacing w:after="122" w:line="254" w:lineRule="auto"/>
        <w:ind w:left="709" w:right="1015" w:hanging="283"/>
        <w:jc w:val="both"/>
      </w:pPr>
      <w:r>
        <w:t xml:space="preserve">Guías de Gestación y </w:t>
      </w:r>
      <w:r>
        <w:t>Parto:</w:t>
      </w:r>
      <w:hyperlink r:id="rId9">
        <w:r>
          <w:t xml:space="preserve"> </w:t>
        </w:r>
      </w:hyperlink>
      <w:hyperlink r:id="rId10">
        <w:r>
          <w:rPr>
            <w:u w:val="single"/>
          </w:rPr>
          <w:t>http://www.crececontigo.gob.cl/material-de-apoyo/material-para-las-fa-</w:t>
        </w:r>
      </w:hyperlink>
      <w:hyperlink r:id="rId11">
        <w:r>
          <w:t xml:space="preserve"> </w:t>
        </w:r>
      </w:hyperlink>
      <w:hyperlink r:id="rId12">
        <w:proofErr w:type="spellStart"/>
        <w:r>
          <w:rPr>
            <w:u w:val="single"/>
          </w:rPr>
          <w:t>milias</w:t>
        </w:r>
        <w:proofErr w:type="spellEnd"/>
        <w:r>
          <w:rPr>
            <w:u w:val="single"/>
          </w:rPr>
          <w:t>/3/</w:t>
        </w:r>
      </w:hyperlink>
      <w:hyperlink r:id="rId13">
        <w:r>
          <w:t xml:space="preserve"> </w:t>
        </w:r>
      </w:hyperlink>
    </w:p>
    <w:p w:rsidR="001055A4" w:rsidRDefault="00CD6DB5">
      <w:pPr>
        <w:numPr>
          <w:ilvl w:val="0"/>
          <w:numId w:val="3"/>
        </w:numPr>
        <w:spacing w:after="125" w:line="251" w:lineRule="auto"/>
        <w:ind w:left="709" w:right="1015" w:hanging="283"/>
        <w:jc w:val="both"/>
      </w:pPr>
      <w:r>
        <w:t>GUÍA de experiencias significativas y recomendaciones para los equipos de salud: pertinencia cultural en el trabajo con pueb</w:t>
      </w:r>
      <w:r>
        <w:t xml:space="preserve">los indígenas en el ámbito de la salud sexual y salud reproductiva (julio 2021). </w:t>
      </w:r>
    </w:p>
    <w:p w:rsidR="001055A4" w:rsidRDefault="00CD6DB5">
      <w:pPr>
        <w:numPr>
          <w:ilvl w:val="0"/>
          <w:numId w:val="3"/>
        </w:numPr>
        <w:spacing w:after="113" w:line="251" w:lineRule="auto"/>
        <w:ind w:left="709" w:right="1015" w:hanging="283"/>
        <w:jc w:val="both"/>
      </w:pPr>
      <w:r>
        <w:t xml:space="preserve">Serie Perfiles Epidemiológicos: https://repositoriodeis.minsal.cl/ </w:t>
      </w:r>
    </w:p>
    <w:p w:rsidR="001055A4" w:rsidRDefault="00CD6DB5">
      <w:pPr>
        <w:numPr>
          <w:ilvl w:val="0"/>
          <w:numId w:val="3"/>
        </w:numPr>
        <w:spacing w:after="113" w:line="251" w:lineRule="auto"/>
        <w:ind w:left="709" w:right="1015" w:hanging="283"/>
        <w:jc w:val="both"/>
      </w:pPr>
      <w:r>
        <w:t xml:space="preserve">Informe DEIS 2019, Registro de la variable de pertenencia a PO: https://repositoriodeis.minsal.cl/ </w:t>
      </w:r>
    </w:p>
    <w:p w:rsidR="001055A4" w:rsidRDefault="00CD6DB5">
      <w:pPr>
        <w:numPr>
          <w:ilvl w:val="0"/>
          <w:numId w:val="3"/>
        </w:numPr>
        <w:spacing w:after="113" w:line="251" w:lineRule="auto"/>
        <w:ind w:left="709" w:right="1015" w:hanging="283"/>
        <w:jc w:val="both"/>
      </w:pPr>
      <w:r>
        <w:t>Consid</w:t>
      </w:r>
      <w:r>
        <w:t xml:space="preserve">eraciones Culturales de Pueblos Indígenas para Residencias Sanitarias, 2020 (documentos disponibles en los SS) </w:t>
      </w:r>
    </w:p>
    <w:p w:rsidR="001055A4" w:rsidRDefault="00CD6DB5">
      <w:pPr>
        <w:spacing w:after="0"/>
        <w:ind w:left="709" w:hanging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1055A4" w:rsidRPr="004F598B" w:rsidRDefault="00CD6DB5">
      <w:pPr>
        <w:pStyle w:val="Ttulo3"/>
        <w:ind w:left="709" w:firstLine="0"/>
        <w:jc w:val="both"/>
        <w:rPr>
          <w:rFonts w:asciiTheme="minorHAnsi" w:hAnsiTheme="minorHAnsi"/>
          <w:color w:val="0063AF"/>
          <w:sz w:val="26"/>
        </w:rPr>
      </w:pPr>
      <w:r w:rsidRPr="004F598B">
        <w:rPr>
          <w:rFonts w:asciiTheme="minorHAnsi" w:hAnsiTheme="minorHAnsi"/>
          <w:color w:val="0063AF"/>
          <w:sz w:val="26"/>
        </w:rPr>
        <w:t xml:space="preserve">CONSIDERACIONES CULTURALES </w:t>
      </w:r>
    </w:p>
    <w:p w:rsidR="001055A4" w:rsidRDefault="00CD6DB5">
      <w:pPr>
        <w:spacing w:after="243" w:line="254" w:lineRule="auto"/>
        <w:ind w:left="709" w:right="1008"/>
        <w:jc w:val="both"/>
      </w:pPr>
      <w:r w:rsidRPr="004F598B">
        <w:t>Los pueblos indígenas, portan culturas propias y poseen un vasto conocimiento sobre los ecosistemas territoriales, base fundamental de sus sistemas médicos, por lo tanto, se hace imprescindible considerar las prácticas médicas ancestrales como factor prote</w:t>
      </w:r>
      <w:r w:rsidRPr="004F598B">
        <w:t xml:space="preserve">ctor, de reforzamiento y complementarias a las medidas sanitarias y protocolos. </w:t>
      </w:r>
      <w:r>
        <w:t>Por tanto, se hace indispensable el respeto y adscripción a instancias formales de reconocimientos políticos - jurídicos de los derechos que garantice el</w:t>
      </w:r>
      <w:r w:rsidRPr="004F598B">
        <w:t xml:space="preserve"> </w:t>
      </w:r>
      <w:r>
        <w:t>reconocimiento, protec</w:t>
      </w:r>
      <w:r>
        <w:t>ción, fortalecimiento de los conocimientos y prácticas de los sistemas de sanación de los pueblos originarios.</w:t>
      </w:r>
    </w:p>
    <w:p w:rsidR="004F598B" w:rsidRDefault="004F598B">
      <w:pPr>
        <w:spacing w:after="243" w:line="254" w:lineRule="auto"/>
        <w:ind w:left="709" w:right="1008"/>
        <w:jc w:val="both"/>
      </w:pPr>
    </w:p>
    <w:p w:rsidR="001055A4" w:rsidRPr="004F598B" w:rsidRDefault="00CD6DB5" w:rsidP="004F598B">
      <w:pPr>
        <w:pStyle w:val="Ttulo3"/>
        <w:ind w:left="709" w:firstLine="0"/>
        <w:jc w:val="both"/>
        <w:rPr>
          <w:rFonts w:asciiTheme="minorHAnsi" w:hAnsiTheme="minorHAnsi"/>
          <w:color w:val="0063AF"/>
          <w:sz w:val="26"/>
        </w:rPr>
      </w:pPr>
      <w:r w:rsidRPr="004F598B">
        <w:rPr>
          <w:rFonts w:asciiTheme="minorHAnsi" w:hAnsiTheme="minorHAnsi"/>
          <w:color w:val="0063AF"/>
          <w:sz w:val="26"/>
        </w:rPr>
        <w:lastRenderedPageBreak/>
        <w:t>RECOMENDACIONES PARA LA GESTIÓN CON PERTINENCIA CULTURAL</w:t>
      </w:r>
      <w:r w:rsidRPr="004F598B">
        <w:rPr>
          <w:rFonts w:asciiTheme="minorHAnsi" w:hAnsiTheme="minorHAnsi"/>
          <w:color w:val="0063AF"/>
          <w:sz w:val="26"/>
        </w:rPr>
        <w:t xml:space="preserve"> </w:t>
      </w:r>
    </w:p>
    <w:p w:rsidR="001055A4" w:rsidRPr="004F598B" w:rsidRDefault="00CD6DB5">
      <w:pPr>
        <w:spacing w:line="254" w:lineRule="auto"/>
        <w:ind w:left="709" w:right="1008"/>
        <w:jc w:val="both"/>
        <w:rPr>
          <w:color w:val="000000" w:themeColor="text1"/>
        </w:rPr>
      </w:pPr>
      <w:r w:rsidRPr="004F598B">
        <w:rPr>
          <w:color w:val="000000" w:themeColor="text1"/>
        </w:rPr>
        <w:t>Pertinencia cultural se refiere a que el sistema de salud conceptualiza, organiza e imp</w:t>
      </w:r>
      <w:r w:rsidRPr="004F598B">
        <w:rPr>
          <w:color w:val="000000" w:themeColor="text1"/>
        </w:rPr>
        <w:t>lementa su quehacer, teniendo como referencia los conocimientos, prácticas y los valores de la cosmovisión en salud de los pueblos indígenas, de tal modo que el sistema de salud conoce, comprende, respeta y considera las formas de vida de los pueblos indíg</w:t>
      </w:r>
      <w:r w:rsidRPr="004F598B">
        <w:rPr>
          <w:color w:val="000000" w:themeColor="text1"/>
        </w:rPr>
        <w:t xml:space="preserve">enas. </w:t>
      </w:r>
    </w:p>
    <w:p w:rsidR="001055A4" w:rsidRPr="004F598B" w:rsidRDefault="00CD6DB5">
      <w:pPr>
        <w:numPr>
          <w:ilvl w:val="0"/>
          <w:numId w:val="4"/>
        </w:numPr>
        <w:spacing w:after="111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El Referente de Pueblos Originarios de los Servicios de Salud (los 29 Servicios de Salud del País poseen referente PESPI), debe ser incorporado/a para definir acciones y recomendaciones al personal de salud para adecuar culturalmente los diversos pr</w:t>
      </w:r>
      <w:r w:rsidRPr="004F598B">
        <w:rPr>
          <w:color w:val="000000" w:themeColor="text1"/>
        </w:rPr>
        <w:t xml:space="preserve">otocolos emanados desde el MINSAL a la población indígena, considerando sus características socioculturales, usos y costumbres y los conocimientos,  prácticas y saberes de los Sistemas de Salud Indígenas. </w:t>
      </w:r>
    </w:p>
    <w:p w:rsidR="001055A4" w:rsidRPr="004F598B" w:rsidRDefault="00CD6DB5">
      <w:pPr>
        <w:numPr>
          <w:ilvl w:val="0"/>
          <w:numId w:val="4"/>
        </w:numPr>
        <w:spacing w:after="108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El Referente PESPI, Asesor o Facilitador Intercultural, debe mantener comunicación y cooperación permanente con organizaciones, líderes/lideresas y dirigentes indígenas de contextos urbanos y rurales para mantener información actualizada de la situación de</w:t>
      </w:r>
      <w:r w:rsidRPr="004F598B">
        <w:rPr>
          <w:color w:val="000000" w:themeColor="text1"/>
        </w:rPr>
        <w:t xml:space="preserve"> salud en sus comunidades, barrios, territorios. </w:t>
      </w:r>
    </w:p>
    <w:p w:rsidR="001055A4" w:rsidRPr="004F598B" w:rsidRDefault="00CD6DB5">
      <w:pPr>
        <w:numPr>
          <w:ilvl w:val="0"/>
          <w:numId w:val="4"/>
        </w:numPr>
        <w:spacing w:after="281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 xml:space="preserve">Es obligación de cada prestador institucional </w:t>
      </w:r>
      <w:r w:rsidRPr="004F598B">
        <w:rPr>
          <w:rFonts w:ascii="Cambria" w:eastAsia="Cambria" w:hAnsi="Cambria" w:cs="Cambria"/>
          <w:color w:val="000000" w:themeColor="text1"/>
        </w:rPr>
        <w:t>–</w:t>
      </w:r>
      <w:r w:rsidRPr="004F598B">
        <w:rPr>
          <w:color w:val="000000" w:themeColor="text1"/>
        </w:rPr>
        <w:t xml:space="preserve"> establecimiento de salud: Mantener un sistema de registro de los usuarios y de su condición de trazabilidad en cada Establecimiento APS, dependiente del Servi</w:t>
      </w:r>
      <w:r w:rsidRPr="004F598B">
        <w:rPr>
          <w:color w:val="000000" w:themeColor="text1"/>
        </w:rPr>
        <w:t>cio de Salud. Mantener un sistema de seguimiento de casos desde su ingreso hasta su alta o traslado. Además, establecer una coordinación con la red a nivel local a través de los establecimientos de APS para otorgar continuidad de la atención y evaluar posi</w:t>
      </w:r>
      <w:r w:rsidRPr="004F598B">
        <w:rPr>
          <w:color w:val="000000" w:themeColor="text1"/>
        </w:rPr>
        <w:t>bles requerimientos de respuesta intersectorial a nivel territorial.</w:t>
      </w:r>
    </w:p>
    <w:p w:rsidR="001055A4" w:rsidRPr="004F598B" w:rsidRDefault="00CD6DB5">
      <w:pPr>
        <w:numPr>
          <w:ilvl w:val="0"/>
          <w:numId w:val="4"/>
        </w:numPr>
        <w:spacing w:after="281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Es obligación del Prestador Institucional: Incorporar al Facilitador Intercultural, para fortalecer acciones y respuestas del personal de salud, para asegurar el acceso oportuno a la aten</w:t>
      </w:r>
      <w:r w:rsidRPr="004F598B">
        <w:rPr>
          <w:color w:val="000000" w:themeColor="text1"/>
        </w:rPr>
        <w:t>ción de salud a persona pertenecientes a pueblos indígenas, en condiciones de mayor vulnerabilidad, debido a las barreras de acceso administrativas, demográficas, culturales e idiomáticas.</w:t>
      </w:r>
    </w:p>
    <w:p w:rsidR="001055A4" w:rsidRPr="004F598B" w:rsidRDefault="00CD6DB5">
      <w:pPr>
        <w:numPr>
          <w:ilvl w:val="0"/>
          <w:numId w:val="4"/>
        </w:numPr>
        <w:spacing w:after="281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Reforzar la articulación con las instancias institucionales del niv</w:t>
      </w:r>
      <w:r w:rsidRPr="004F598B">
        <w:rPr>
          <w:color w:val="000000" w:themeColor="text1"/>
        </w:rPr>
        <w:t>el local</w:t>
      </w:r>
      <w:r w:rsidRPr="004F598B">
        <w:rPr>
          <w:rFonts w:ascii="Cambria" w:eastAsia="Cambria" w:hAnsi="Cambria" w:cs="Cambria"/>
          <w:b/>
          <w:color w:val="000000" w:themeColor="text1"/>
        </w:rPr>
        <w:t xml:space="preserve"> </w:t>
      </w:r>
      <w:r w:rsidRPr="004F598B">
        <w:rPr>
          <w:color w:val="000000" w:themeColor="text1"/>
        </w:rPr>
        <w:t>(comunal, barrial como municipio, organizaciones indígenas, organizaciones de la sociedad civil) para una comunicación fluida y ágil que permita atender situaciones derivadas de la emergencia sanitaria</w:t>
      </w:r>
      <w:r w:rsidRPr="004F598B">
        <w:rPr>
          <w:color w:val="000000" w:themeColor="text1"/>
        </w:rPr>
        <w:t>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4"/>
        </w:numPr>
        <w:spacing w:after="85" w:line="254" w:lineRule="auto"/>
        <w:ind w:left="709" w:right="1008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El Facilitador Intercultural: Es una person</w:t>
      </w:r>
      <w:r w:rsidRPr="004F598B">
        <w:rPr>
          <w:color w:val="000000" w:themeColor="text1"/>
        </w:rPr>
        <w:t>a indígena que se desempeña en el sistema de salud público como nexo mediador entre el establecimiento de salud y las personas, familias, comunidades, asociaciones y organizaciones de los pueblos indígenas. Es quien coordina, intermedia, facilita y gestion</w:t>
      </w:r>
      <w:r w:rsidRPr="004F598B">
        <w:rPr>
          <w:color w:val="000000" w:themeColor="text1"/>
        </w:rPr>
        <w:t>a con los sistemas de sanación propios de los pueblos indígenas.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spacing w:after="85" w:line="254" w:lineRule="auto"/>
        <w:ind w:left="709" w:right="1008"/>
        <w:jc w:val="both"/>
        <w:rPr>
          <w:color w:val="000000" w:themeColor="text1"/>
        </w:rPr>
      </w:pPr>
      <w:r w:rsidRPr="004F598B">
        <w:rPr>
          <w:color w:val="000000" w:themeColor="text1"/>
        </w:rPr>
        <w:t>Finalmente, las acciones de salud con pertinencia cultural son aquellas que consideran a los pueblos indígenas desde el enfoque de derechos, elementos básicos para la valoración y respeto de</w:t>
      </w:r>
      <w:r w:rsidRPr="004F598B">
        <w:rPr>
          <w:color w:val="000000" w:themeColor="text1"/>
        </w:rPr>
        <w:t xml:space="preserve"> las diferencias culturales.</w:t>
      </w:r>
    </w:p>
    <w:p w:rsidR="001055A4" w:rsidRPr="004F598B" w:rsidRDefault="00CD6DB5">
      <w:pPr>
        <w:spacing w:after="85" w:line="254" w:lineRule="auto"/>
        <w:ind w:left="709" w:right="1008"/>
        <w:jc w:val="both"/>
        <w:rPr>
          <w:color w:val="000000" w:themeColor="text1"/>
        </w:rPr>
      </w:pPr>
      <w:r w:rsidRPr="004F598B">
        <w:rPr>
          <w:color w:val="000000" w:themeColor="text1"/>
        </w:rPr>
        <w:t>La atención con pertinencia cultural es aquella prestación de salud basada en una relación terapéutica respetuosa, dialogante e inclusiva de las diferencias, particularmente sobre las construcciones culturales de salud y enferm</w:t>
      </w:r>
      <w:r w:rsidRPr="004F598B">
        <w:rPr>
          <w:color w:val="000000" w:themeColor="text1"/>
        </w:rPr>
        <w:t xml:space="preserve">edad que declaran las personas de pueblos indígenas en el proceso de atención de salud.  </w:t>
      </w:r>
    </w:p>
    <w:p w:rsidR="001055A4" w:rsidRPr="004F598B" w:rsidRDefault="00CD6DB5">
      <w:pPr>
        <w:spacing w:after="85" w:line="254" w:lineRule="auto"/>
        <w:ind w:left="709" w:right="1008"/>
        <w:jc w:val="both"/>
        <w:rPr>
          <w:color w:val="000000" w:themeColor="text1"/>
        </w:rPr>
      </w:pPr>
      <w:r w:rsidRPr="004F598B">
        <w:rPr>
          <w:color w:val="000000" w:themeColor="text1"/>
        </w:rPr>
        <w:t xml:space="preserve">Los equipos de salud identifican y organizan su actuación conforme a los estándares de derechos de los pueblos indígenas y Ley de Deberes y Derechos, Art 7, sobre el </w:t>
      </w:r>
      <w:r w:rsidRPr="004F598B">
        <w:rPr>
          <w:color w:val="000000" w:themeColor="text1"/>
        </w:rPr>
        <w:t xml:space="preserve">derecho a recibir atención con pertinencia cultural.  </w:t>
      </w:r>
    </w:p>
    <w:p w:rsidR="001055A4" w:rsidRDefault="00CD6DB5">
      <w:pPr>
        <w:spacing w:after="0"/>
        <w:ind w:left="709"/>
        <w:jc w:val="both"/>
      </w:pPr>
      <w:r>
        <w:rPr>
          <w:rFonts w:ascii="Cambria" w:eastAsia="Cambria" w:hAnsi="Cambria" w:cs="Cambria"/>
          <w:b/>
          <w:color w:val="595959"/>
        </w:rPr>
        <w:t xml:space="preserve"> </w:t>
      </w:r>
      <w:r>
        <w:rPr>
          <w:rFonts w:ascii="Cambria" w:eastAsia="Cambria" w:hAnsi="Cambria" w:cs="Cambria"/>
          <w:b/>
          <w:color w:val="0063AF"/>
        </w:rPr>
        <w:t xml:space="preserve"> </w:t>
      </w:r>
    </w:p>
    <w:p w:rsidR="001055A4" w:rsidRPr="004F598B" w:rsidRDefault="00CD6DB5" w:rsidP="004F598B">
      <w:pPr>
        <w:pStyle w:val="Ttulo3"/>
        <w:ind w:left="709" w:firstLine="0"/>
        <w:jc w:val="both"/>
        <w:rPr>
          <w:rFonts w:asciiTheme="minorHAnsi" w:hAnsiTheme="minorHAnsi"/>
          <w:color w:val="0063AF"/>
          <w:sz w:val="26"/>
        </w:rPr>
      </w:pPr>
      <w:r w:rsidRPr="004F598B">
        <w:rPr>
          <w:rFonts w:asciiTheme="minorHAnsi" w:hAnsiTheme="minorHAnsi"/>
          <w:color w:val="0063AF"/>
          <w:sz w:val="26"/>
        </w:rPr>
        <w:t>ACCIONES ESPECÍFICAS</w:t>
      </w:r>
      <w:r w:rsidRPr="004F598B">
        <w:rPr>
          <w:rFonts w:asciiTheme="minorHAnsi" w:hAnsiTheme="minorHAnsi"/>
          <w:color w:val="0063AF"/>
          <w:sz w:val="26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Reforzar el registro de la variable de pertenencia a pueblos indígenas, especialmente en sistema de notificación de enfermedades obligatorias EPIVIGILA y otros registros administrativos y clínicos de salud regulares de los establecimientos.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 xml:space="preserve">Fortalecer acciones y respuestas del personal de salud </w:t>
      </w:r>
      <w:r w:rsidRPr="004F598B">
        <w:rPr>
          <w:rFonts w:ascii="Cambria" w:eastAsia="Cambria" w:hAnsi="Cambria" w:cs="Cambria"/>
          <w:color w:val="000000" w:themeColor="text1"/>
        </w:rPr>
        <w:t>–</w:t>
      </w:r>
      <w:r w:rsidRPr="004F598B">
        <w:rPr>
          <w:color w:val="000000" w:themeColor="text1"/>
        </w:rPr>
        <w:t xml:space="preserve"> el equipo del establecimiento de salud debe respetar el derecho de personas pertenecientes a pueblos indígenas a ser tratados por más de un sistema médico, resguardando el derecho a utilizar medicina</w:t>
      </w:r>
      <w:r w:rsidRPr="004F598B">
        <w:rPr>
          <w:color w:val="000000" w:themeColor="text1"/>
        </w:rPr>
        <w:t>s indígenas y a incorporar sus modelos de Buen Vivir.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lastRenderedPageBreak/>
        <w:t>Mantener comunicación y cooperación permanentes con familiares (o acompañante del enfermo/a) para proporcionar información actualizada de la situación de salud de la persona.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Resolver o canalizar los r</w:t>
      </w:r>
      <w:r w:rsidRPr="004F598B">
        <w:rPr>
          <w:color w:val="000000" w:themeColor="text1"/>
        </w:rPr>
        <w:t>equerimientos y necesidad más inmediata con el familiar o a través del personal Facilitador Intercultural.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Respetar, valorar y considerar los conocimientos y prácticas sobre salud, propias de los pueblos indígenas.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Respetar, valorar y considerar la organ</w:t>
      </w:r>
      <w:r w:rsidRPr="004F598B">
        <w:rPr>
          <w:color w:val="000000" w:themeColor="text1"/>
        </w:rPr>
        <w:t>ización familiar, social y comunitaria de los pueblos indígenas resguardando que toda medida que se adopte con el usuario/a sea concordada, viable y adecuada.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Continuidad de cuidados: En situaciones que lo requieran, tales como visitas domiciliarias, apli</w:t>
      </w:r>
      <w:r w:rsidRPr="004F598B">
        <w:rPr>
          <w:color w:val="000000" w:themeColor="text1"/>
        </w:rPr>
        <w:t>cación de test, vacunación, entrega de medicamentos o programas alimentarios, solicite asesoría, acompañamiento y coordinación con Facilitadores/ as Interculturales, Asesores culturales y representantes, líderes, lideresas y dirigentes/as indígenas, para e</w:t>
      </w:r>
      <w:r w:rsidRPr="004F598B">
        <w:rPr>
          <w:color w:val="000000" w:themeColor="text1"/>
        </w:rPr>
        <w:t>stablecer acuerdos viables y pertinentes culturalmente.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Difundir materiales y mensajes educativos con pertinencia cultural que incluyan temas como: Funcionamiento y normas del establecimiento, para que sirven las medidas de cuarentena y los resguardos que</w:t>
      </w:r>
      <w:r w:rsidRPr="004F598B">
        <w:rPr>
          <w:color w:val="000000" w:themeColor="text1"/>
        </w:rPr>
        <w:t xml:space="preserve"> deben asumir sus cercanos y familiares.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Dar a conocer (en lengua de pueblos) el Protocolo y las indicaciones médicas y acordar explícitamente el procedimiento para las adecuaciones culturales y el uso adecuado de mascarillas y elementos de protección per</w:t>
      </w:r>
      <w:r w:rsidRPr="004F598B">
        <w:rPr>
          <w:color w:val="000000" w:themeColor="text1"/>
        </w:rPr>
        <w:t>sonal, así como el riesgo de realizar determinadas actividades habituales de la cultura como: saludar, compartir alimentos y objetos en ceremonias comunitarias, entre otras.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13" w:line="251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Establecer acuerdos de como ejercer la espiritualidad y prácticas culturales en c</w:t>
      </w:r>
      <w:r w:rsidRPr="004F598B">
        <w:rPr>
          <w:color w:val="000000" w:themeColor="text1"/>
        </w:rPr>
        <w:t>ontexto de salud - enfermedad y su mejor funcionamiento en situación de emergencia asegurando que los mensajes lleguen a las personas en su lengua y costumbres.</w:t>
      </w:r>
      <w:r w:rsidRPr="004F598B">
        <w:rPr>
          <w:color w:val="000000" w:themeColor="text1"/>
        </w:rPr>
        <w:t xml:space="preserve"> </w:t>
      </w:r>
    </w:p>
    <w:p w:rsidR="001055A4" w:rsidRPr="004F598B" w:rsidRDefault="00CD6DB5">
      <w:pPr>
        <w:numPr>
          <w:ilvl w:val="0"/>
          <w:numId w:val="1"/>
        </w:numPr>
        <w:spacing w:after="108" w:line="254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Complementar información de los Protocolos de prevención y uso de las instalaciones del establ</w:t>
      </w:r>
      <w:r w:rsidRPr="004F598B">
        <w:rPr>
          <w:color w:val="000000" w:themeColor="text1"/>
        </w:rPr>
        <w:t xml:space="preserve">ecimiento, hospital o Residencia Sanitaria a través de la traducción en lengua de los pueblos y mediante la comunicación en lengua de pueblos originarios para aquellas personas hablantes. Dípticos, afiches y/o cápsulas radiales, además de la participación </w:t>
      </w:r>
      <w:r w:rsidRPr="004F598B">
        <w:rPr>
          <w:color w:val="000000" w:themeColor="text1"/>
        </w:rPr>
        <w:t xml:space="preserve">de facilitadores interculturales. </w:t>
      </w:r>
    </w:p>
    <w:p w:rsidR="001055A4" w:rsidRPr="004F598B" w:rsidRDefault="00CD6DB5">
      <w:pPr>
        <w:numPr>
          <w:ilvl w:val="0"/>
          <w:numId w:val="1"/>
        </w:numPr>
        <w:spacing w:after="5" w:line="254" w:lineRule="auto"/>
        <w:ind w:left="709" w:right="1015" w:hanging="283"/>
        <w:jc w:val="both"/>
        <w:rPr>
          <w:color w:val="000000" w:themeColor="text1"/>
        </w:rPr>
      </w:pPr>
      <w:r w:rsidRPr="004F598B">
        <w:rPr>
          <w:color w:val="000000" w:themeColor="text1"/>
        </w:rPr>
        <w:t>Promover la contratación o formalización del facilitador/a intercultural de puebl</w:t>
      </w:r>
      <w:bookmarkStart w:id="1" w:name="_GoBack"/>
      <w:bookmarkEnd w:id="1"/>
      <w:r w:rsidRPr="004F598B">
        <w:rPr>
          <w:color w:val="000000" w:themeColor="text1"/>
        </w:rPr>
        <w:t xml:space="preserve">os </w:t>
      </w:r>
      <w:r w:rsidRPr="004F598B">
        <w:rPr>
          <w:color w:val="000000" w:themeColor="text1"/>
        </w:rPr>
        <w:t>originarios</w:t>
      </w:r>
      <w:r w:rsidRPr="004F598B">
        <w:rPr>
          <w:color w:val="000000" w:themeColor="text1"/>
        </w:rPr>
        <w:t>.</w:t>
      </w:r>
    </w:p>
    <w:sectPr w:rsidR="001055A4" w:rsidRPr="004F598B">
      <w:footerReference w:type="even" r:id="rId14"/>
      <w:footerReference w:type="default" r:id="rId15"/>
      <w:footerReference w:type="first" r:id="rId16"/>
      <w:pgSz w:w="12240" w:h="15840"/>
      <w:pgMar w:top="460" w:right="219" w:bottom="234" w:left="2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B5" w:rsidRDefault="00CD6DB5">
      <w:pPr>
        <w:spacing w:after="0" w:line="240" w:lineRule="auto"/>
      </w:pPr>
      <w:r>
        <w:separator/>
      </w:r>
    </w:p>
  </w:endnote>
  <w:endnote w:type="continuationSeparator" w:id="0">
    <w:p w:rsidR="00CD6DB5" w:rsidRDefault="00CD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A4" w:rsidRDefault="00CD6DB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7372" name="Grupo 17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55A4" w:rsidRDefault="001055A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 11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7372" o:spid="_x0000_s1026" style="position:absolute;margin-left:170pt;margin-top:782pt;width:101.75pt;height:9.35pt;z-index:251660288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">
              <v:group id="Grupo 9" o:spid="_x0000_s1027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ángulo 10" o:spid="_x0000_s1028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<v:textbox inset="2.53958mm,2.53958mm,2.53958mm,2.53958mm">
                    <w:txbxContent>
                      <w:p w:rsidR="001055A4" w:rsidRDefault="001055A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11" o:spid="_x0000_s1029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ehMMA&#10;AADbAAAADwAAAGRycy9kb3ducmV2LnhtbERPTWvCQBC9C/0PyxR6Ed0khyIxawiGlh6kULWH3obs&#10;mASzs+nuqum/7xYK3ubxPqcoJzOIKznfW1aQLhMQxI3VPbcKjoeXxQqED8gaB8uk4Ic8lJuHWYG5&#10;tjf+oOs+tCKGsM9RQRfCmEvpm44M+qUdiSN3ss5giNC1Uju8xXAzyCxJnqXBnmNDhyNtO2rO+4tR&#10;8FWN2eUzrd2c0u/X7Xu9q7N2p9TT41StQQSawl38737TcX4Kf7/E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ehMMAAADbAAAADwAAAAAAAAAAAAAAAACYAgAAZHJzL2Rv&#10;d25yZXYueG1sUEsFBgAAAAAEAAQA9QAAAIgDAAAAAA==&#10;" path="m,l529590,r,118745l,118745,,e" fillcolor="#0063af" stroked="f">
                  <v:path arrowok="t" o:extrusionok="f"/>
                </v:shape>
                <v:shape id="Forma libre 12" o:spid="_x0000_s1030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eMcMA&#10;AADbAAAADwAAAGRycy9kb3ducmV2LnhtbERPS2vCQBC+F/wPywi91Y2CrUY3QVqEXnpQS6m3ITtu&#10;otnZkN3m8e+7QqG3+fies80HW4uOWl85VjCfJSCIC6crNgo+T/unFQgfkDXWjknBSB7ybPKwxVS7&#10;ng/UHYMRMYR9igrKEJpUSl+UZNHPXEMcuYtrLYYIWyN1i30Mt7VcJMmztFhxbCixodeSitvxxyo4&#10;f3z1Y2XWL6vd9fq93Js3u+xPSj1Oh90GRKAh/Iv/3O86zl/A/Z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7eMcMAAADbAAAADwAAAAAAAAAAAAAAAACYAgAAZHJzL2Rv&#10;d25yZXYueG1sUEsFBgAAAAAEAAQA9QAAAIgDAAAAAA==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A4" w:rsidRDefault="00CD6DB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7373" name="Grupo 17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55A4" w:rsidRDefault="001055A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7373" o:spid="_x0000_s1031" style="position:absolute;margin-left:170pt;margin-top:782pt;width:101.75pt;height:9.35pt;z-index:251658240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">
              <v:group id="Grupo 1" o:spid="_x0000_s1032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ángulo 2" o:spid="_x0000_s1033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1055A4" w:rsidRDefault="001055A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3" o:spid="_x0000_s1034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UPsQA&#10;AADaAAAADwAAAGRycy9kb3ducmV2LnhtbESPQWvCQBSE74L/YXlCL6KbpCAluooYWnqQglYP3h7Z&#10;ZxLMvo27q6b/vlsoeBxm5htmsepNK+7kfGNZQTpNQBCXVjdcKTh8v0/eQPiArLG1TAp+yMNqORws&#10;MNf2wTu670MlIoR9jgrqELpcSl/WZNBPbUccvbN1BkOUrpLa4SPCTSuzJJlJgw3HhRo72tRUXvY3&#10;o+C07rLbMS3cmNLrx+ar2BZZtVXqZdSv5yAC9eEZ/m9/agWv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lD7EAAAA2gAAAA8AAAAAAAAAAAAAAAAAmAIAAGRycy9k&#10;b3ducmV2LnhtbFBLBQYAAAAABAAEAPUAAACJAwAAAAA=&#10;" path="m,l529590,r,118745l,118745,,e" fillcolor="#0063af" stroked="f">
                  <v:path arrowok="t" o:extrusionok="f"/>
                </v:shape>
                <v:shape id="Forma libre 4" o:spid="_x0000_s1035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DQ8UA&#10;AADaAAAADwAAAGRycy9kb3ducmV2LnhtbESPQWvCQBSE7wX/w/KE3upGqa1N3YgogV560JSit0f2&#10;uYlm34bs1sR/3xUKPQ4z8w2zXA22EVfqfO1YwXSSgCAuna7ZKPgq8qcFCB+QNTaOScGNPKyy0cMS&#10;U+163tF1H4yIEPYpKqhCaFMpfVmRRT9xLXH0Tq6zGKLsjNQd9hFuGzlLkhdpsea4UGFLm4rKy/7H&#10;Kjh+fve32ry9Ltbn82Gem62d94VSj+Nh/Q4i0BD+w3/tD63gGe5X4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0NDxQAAANoAAAAPAAAAAAAAAAAAAAAAAJgCAABkcnMv&#10;ZG93bnJldi54bWxQSwUGAAAAAAQABAD1AAAAigMAAAAA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A4" w:rsidRDefault="00CD6DB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7374" name="Grupo 17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55A4" w:rsidRDefault="001055A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7374" o:spid="_x0000_s1036" style="position:absolute;margin-left:170pt;margin-top:782pt;width:101.75pt;height:9.35pt;z-index:251659264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">
              <v:group id="Grupo 5" o:spid="_x0000_s1037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ángulo 6" o:spid="_x0000_s1038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1055A4" w:rsidRDefault="001055A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7" o:spid="_x0000_s1039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PcQA&#10;AADaAAAADwAAAGRycy9kb3ducmV2LnhtbESPQWvCQBSE74L/YXlCL6Kb5FBLdBUxtPQgBa0evD2y&#10;zySYfRt3V03/fbdQ8DjMzDfMYtWbVtzJ+caygnSagCAurW64UnD4fp+8gfABWWNrmRT8kIfVcjhY&#10;YK7tg3d034dKRAj7HBXUIXS5lL6syaCf2o44emfrDIYoXSW1w0eEm1ZmSfIqDTYcF2rsaFNTednf&#10;jILTustux7RwY0qvH5uvYltk1Vapl1G/noMI1Idn+L/9qRXM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kj3EAAAA2gAAAA8AAAAAAAAAAAAAAAAAmAIAAGRycy9k&#10;b3ducmV2LnhtbFBLBQYAAAAABAAEAPUAAACJAwAAAAA=&#10;" path="m,l529590,r,118745l,118745,,e" fillcolor="#0063af" stroked="f">
                  <v:path arrowok="t" o:extrusionok="f"/>
                </v:shape>
                <v:shape id="Forma libre 8" o:spid="_x0000_s1040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JRsAA&#10;AADaAAAADwAAAGRycy9kb3ducmV2LnhtbERPy4rCMBTdD/gP4QruxlTBGa1GEUVw48IHortLc02r&#10;zU1poq1/P1kIszyc92zR2lK8qPaFYwWDfgKCOHO6YKPgdNx8j0H4gKyxdEwK3uRhMe98zTDVruE9&#10;vQ7BiBjCPkUFeQhVKqXPcrLo+64ijtzN1RZDhLWRusYmhttSDpPkR1osODbkWNEqp+xxeFoF1925&#10;eRdm8jte3u+X0cas7ag5KtXrtsspiEBt+Bd/3FutIG6NV+IN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pJRsAAAADaAAAADwAAAAAAAAAAAAAAAACYAgAAZHJzL2Rvd25y&#10;ZXYueG1sUEsFBgAAAAAEAAQA9QAAAIUDAAAAAA==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B5" w:rsidRDefault="00CD6DB5">
      <w:pPr>
        <w:spacing w:after="0" w:line="240" w:lineRule="auto"/>
      </w:pPr>
      <w:r>
        <w:separator/>
      </w:r>
    </w:p>
  </w:footnote>
  <w:footnote w:type="continuationSeparator" w:id="0">
    <w:p w:rsidR="00CD6DB5" w:rsidRDefault="00CD6DB5">
      <w:pPr>
        <w:spacing w:after="0" w:line="240" w:lineRule="auto"/>
      </w:pPr>
      <w:r>
        <w:continuationSeparator/>
      </w:r>
    </w:p>
  </w:footnote>
  <w:footnote w:id="1">
    <w:p w:rsidR="001055A4" w:rsidRDefault="00CD6DB5">
      <w:pPr>
        <w:pBdr>
          <w:top w:val="nil"/>
          <w:left w:val="nil"/>
          <w:bottom w:val="nil"/>
          <w:right w:val="nil"/>
          <w:between w:val="nil"/>
        </w:pBdr>
        <w:spacing w:after="18" w:line="246" w:lineRule="auto"/>
        <w:ind w:left="1008" w:right="105"/>
        <w:jc w:val="both"/>
        <w:rPr>
          <w:rFonts w:ascii="Cambria" w:eastAsia="Cambria" w:hAnsi="Cambria" w:cs="Cambria"/>
          <w:color w:val="57575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575756"/>
          <w:sz w:val="16"/>
          <w:szCs w:val="16"/>
        </w:rPr>
        <w:t xml:space="preserve"> Población INE e Inscritos en Establecimientos de Atención Primaria: Modelo de asignación de población INE a establecimientos de comunas con beneficiarios inscritos.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</w:p>
  </w:footnote>
  <w:footnote w:id="2">
    <w:p w:rsidR="001055A4" w:rsidRDefault="00CD6DB5">
      <w:pPr>
        <w:pBdr>
          <w:top w:val="nil"/>
          <w:left w:val="nil"/>
          <w:bottom w:val="nil"/>
          <w:right w:val="nil"/>
          <w:between w:val="nil"/>
        </w:pBdr>
        <w:spacing w:after="0" w:line="232" w:lineRule="auto"/>
        <w:ind w:left="1008" w:right="1023"/>
        <w:jc w:val="both"/>
        <w:rPr>
          <w:rFonts w:ascii="Cambria" w:eastAsia="Cambria" w:hAnsi="Cambria" w:cs="Cambria"/>
          <w:color w:val="57575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575756"/>
          <w:sz w:val="16"/>
          <w:szCs w:val="16"/>
        </w:rPr>
        <w:t xml:space="preserve"> La población estimada de cada comuna se asigna proporcionalmente, de acuerdo al porcentaje de inscripción comunal, a cada establecimiento seleccionado, determinándose, por tanto, la población INE que le correspondería teóricamente a cada establecimiento e</w:t>
      </w:r>
      <w:r>
        <w:rPr>
          <w:rFonts w:ascii="Cambria" w:eastAsia="Cambria" w:hAnsi="Cambria" w:cs="Cambria"/>
          <w:color w:val="575756"/>
          <w:sz w:val="16"/>
          <w:szCs w:val="16"/>
        </w:rPr>
        <w:t>n las comunas que tengan inscripción - INE.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338"/>
    <w:multiLevelType w:val="multilevel"/>
    <w:tmpl w:val="EF46E8B2"/>
    <w:lvl w:ilvl="0">
      <w:start w:val="1"/>
      <w:numFmt w:val="bullet"/>
      <w:lvlText w:val="•"/>
      <w:lvlJc w:val="left"/>
      <w:pPr>
        <w:ind w:left="1502" w:hanging="1502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14" w:hanging="23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34" w:hanging="30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54" w:hanging="37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74" w:hanging="447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94" w:hanging="519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14" w:hanging="59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34" w:hanging="66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54" w:hanging="73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7012A26"/>
    <w:multiLevelType w:val="multilevel"/>
    <w:tmpl w:val="3FECD63E"/>
    <w:lvl w:ilvl="0">
      <w:start w:val="1"/>
      <w:numFmt w:val="bullet"/>
      <w:lvlText w:val="•"/>
      <w:lvlJc w:val="left"/>
      <w:pPr>
        <w:ind w:left="1502" w:hanging="1502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74" w:hanging="207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94" w:hanging="279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14" w:hanging="351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34" w:hanging="423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54" w:hanging="495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74" w:hanging="567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94" w:hanging="639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14" w:hanging="7114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E6406F8"/>
    <w:multiLevelType w:val="multilevel"/>
    <w:tmpl w:val="0F6CFA40"/>
    <w:lvl w:ilvl="0">
      <w:start w:val="1"/>
      <w:numFmt w:val="bullet"/>
      <w:lvlText w:val="•"/>
      <w:lvlJc w:val="left"/>
      <w:pPr>
        <w:ind w:left="1502" w:hanging="1502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14" w:hanging="23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34" w:hanging="30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54" w:hanging="37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74" w:hanging="447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94" w:hanging="519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14" w:hanging="59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34" w:hanging="66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54" w:hanging="73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5902C2B"/>
    <w:multiLevelType w:val="multilevel"/>
    <w:tmpl w:val="6DC8EFEE"/>
    <w:lvl w:ilvl="0">
      <w:start w:val="1"/>
      <w:numFmt w:val="bullet"/>
      <w:lvlText w:val="•"/>
      <w:lvlJc w:val="left"/>
      <w:pPr>
        <w:ind w:left="1502" w:hanging="1502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8" w:hanging="150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8" w:hanging="222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8" w:hanging="294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8" w:hanging="366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8" w:hanging="438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8" w:hanging="510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8" w:hanging="582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8" w:hanging="6548"/>
      </w:pPr>
      <w:rPr>
        <w:rFonts w:ascii="Trebuchet MS" w:eastAsia="Trebuchet MS" w:hAnsi="Trebuchet MS" w:cs="Trebuchet MS"/>
        <w:b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A4"/>
    <w:rsid w:val="001055A4"/>
    <w:rsid w:val="004F598B"/>
    <w:rsid w:val="00C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1DF494-D32C-49A8-AF8C-E280903E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480814"/>
    <w:pPr>
      <w:keepNext/>
      <w:keepLines/>
      <w:spacing w:after="135"/>
      <w:ind w:left="1347"/>
      <w:outlineLvl w:val="0"/>
    </w:pPr>
    <w:rPr>
      <w:rFonts w:ascii="Cambria" w:eastAsia="Cambria" w:hAnsi="Cambria" w:cs="Cambria"/>
      <w:b/>
      <w:color w:val="006FB7"/>
      <w:sz w:val="40"/>
    </w:rPr>
  </w:style>
  <w:style w:type="paragraph" w:styleId="Ttulo2">
    <w:name w:val="heading 2"/>
    <w:next w:val="Normal"/>
    <w:link w:val="Ttulo2Car"/>
    <w:uiPriority w:val="9"/>
    <w:unhideWhenUsed/>
    <w:qFormat/>
    <w:rsid w:val="00480814"/>
    <w:pPr>
      <w:keepNext/>
      <w:keepLines/>
      <w:spacing w:after="113"/>
      <w:ind w:left="1008"/>
      <w:outlineLvl w:val="1"/>
    </w:pPr>
    <w:rPr>
      <w:rFonts w:ascii="Cambria" w:eastAsia="Cambria" w:hAnsi="Cambria" w:cs="Cambria"/>
      <w:b/>
      <w:color w:val="0063AF"/>
      <w:sz w:val="26"/>
    </w:rPr>
  </w:style>
  <w:style w:type="paragraph" w:styleId="Ttulo3">
    <w:name w:val="heading 3"/>
    <w:next w:val="Normal"/>
    <w:link w:val="Ttulo3Car"/>
    <w:uiPriority w:val="9"/>
    <w:unhideWhenUsed/>
    <w:qFormat/>
    <w:rsid w:val="00480814"/>
    <w:pPr>
      <w:keepNext/>
      <w:keepLines/>
      <w:spacing w:after="45"/>
      <w:ind w:left="1018" w:hanging="10"/>
      <w:outlineLvl w:val="2"/>
    </w:pPr>
    <w:rPr>
      <w:rFonts w:ascii="Cambria" w:eastAsia="Cambria" w:hAnsi="Cambria" w:cs="Cambria"/>
      <w:b/>
      <w:color w:val="575756"/>
    </w:rPr>
  </w:style>
  <w:style w:type="paragraph" w:styleId="Ttulo4">
    <w:name w:val="heading 4"/>
    <w:next w:val="Normal"/>
    <w:link w:val="Ttulo4Car"/>
    <w:uiPriority w:val="9"/>
    <w:unhideWhenUsed/>
    <w:qFormat/>
    <w:rsid w:val="00480814"/>
    <w:pPr>
      <w:keepNext/>
      <w:keepLines/>
      <w:spacing w:after="45"/>
      <w:ind w:left="1018" w:hanging="10"/>
      <w:outlineLvl w:val="3"/>
    </w:pPr>
    <w:rPr>
      <w:rFonts w:ascii="Cambria" w:eastAsia="Cambria" w:hAnsi="Cambria" w:cs="Cambria"/>
      <w:b/>
      <w:color w:val="0063A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80814"/>
    <w:rPr>
      <w:rFonts w:ascii="Cambria" w:eastAsia="Cambria" w:hAnsi="Cambria" w:cs="Cambria"/>
      <w:b/>
      <w:color w:val="006FB7"/>
      <w:sz w:val="40"/>
    </w:rPr>
  </w:style>
  <w:style w:type="character" w:customStyle="1" w:styleId="Ttulo2Car">
    <w:name w:val="Título 2 Car"/>
    <w:basedOn w:val="Fuentedeprrafopredeter"/>
    <w:link w:val="Ttulo2"/>
    <w:uiPriority w:val="9"/>
    <w:rsid w:val="00480814"/>
    <w:rPr>
      <w:rFonts w:ascii="Cambria" w:eastAsia="Cambria" w:hAnsi="Cambria" w:cs="Cambria"/>
      <w:b/>
      <w:color w:val="0063AF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480814"/>
    <w:rPr>
      <w:rFonts w:ascii="Cambria" w:eastAsia="Cambria" w:hAnsi="Cambria" w:cs="Cambria"/>
      <w:b/>
      <w:color w:val="575756"/>
    </w:rPr>
  </w:style>
  <w:style w:type="character" w:customStyle="1" w:styleId="Ttulo4Car">
    <w:name w:val="Título 4 Car"/>
    <w:basedOn w:val="Fuentedeprrafopredeter"/>
    <w:link w:val="Ttulo4"/>
    <w:uiPriority w:val="9"/>
    <w:rsid w:val="00480814"/>
    <w:rPr>
      <w:rFonts w:ascii="Cambria" w:eastAsia="Cambria" w:hAnsi="Cambria" w:cs="Cambria"/>
      <w:b/>
      <w:color w:val="0063AF"/>
    </w:rPr>
  </w:style>
  <w:style w:type="paragraph" w:styleId="Prrafodelista">
    <w:name w:val="List Paragraph"/>
    <w:basedOn w:val="Normal"/>
    <w:link w:val="PrrafodelistaCar"/>
    <w:uiPriority w:val="34"/>
    <w:qFormat/>
    <w:rsid w:val="00480814"/>
    <w:pPr>
      <w:ind w:left="720"/>
      <w:contextualSpacing/>
    </w:pPr>
    <w:rPr>
      <w:rFonts w:eastAsiaTheme="minorHAns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80814"/>
    <w:rPr>
      <w:rFonts w:eastAsiaTheme="minorHAnsi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480814"/>
    <w:pPr>
      <w:spacing w:after="18" w:line="247" w:lineRule="auto"/>
      <w:ind w:left="1008" w:right="1023"/>
      <w:jc w:val="both"/>
    </w:pPr>
    <w:rPr>
      <w:rFonts w:ascii="Cambria" w:eastAsia="Cambria" w:hAnsi="Cambria" w:cs="Cambria"/>
      <w:color w:val="575756"/>
      <w:sz w:val="16"/>
    </w:rPr>
  </w:style>
  <w:style w:type="character" w:customStyle="1" w:styleId="footnotedescriptionChar">
    <w:name w:val="footnote description Char"/>
    <w:link w:val="footnotedescription"/>
    <w:rsid w:val="00480814"/>
    <w:rPr>
      <w:rFonts w:ascii="Cambria" w:eastAsia="Cambria" w:hAnsi="Cambria" w:cs="Cambria"/>
      <w:color w:val="575756"/>
      <w:sz w:val="16"/>
    </w:rPr>
  </w:style>
  <w:style w:type="character" w:customStyle="1" w:styleId="footnotemark">
    <w:name w:val="footnote mark"/>
    <w:hidden/>
    <w:rsid w:val="00480814"/>
    <w:rPr>
      <w:rFonts w:ascii="Cambria" w:eastAsia="Cambria" w:hAnsi="Cambria" w:cs="Cambria"/>
      <w:color w:val="575756"/>
      <w:sz w:val="14"/>
      <w:vertAlign w:val="superscript"/>
    </w:rPr>
  </w:style>
  <w:style w:type="table" w:customStyle="1" w:styleId="TableGrid">
    <w:name w:val="TableGrid"/>
    <w:rsid w:val="004808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7" w:type="dxa"/>
        <w:left w:w="11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ececontigo.gob.cl/material-de-apoyo/material-para-las-fa-%20milias/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cecontigo.gob.cl/material-de-apoyo/material-para-las-fa-%20milias/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cecontigo.gob.cl/material-de-apoyo/material-para-las-fa-%20milias/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rececontigo.gob.cl/material-de-apoyo/material-para-las-fa-%20milias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cecontigo.gob.cl/material-de-apoyo/material-para-las-fa-%20milias/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p7NwEQThUBaNiTUeAuvpPIE6Q==">AMUW2mWmc3BMzFzYpBRemtlajNW/Z4jb5FpkISGMeGibwJCfDDoPGm9h1m6cV+iQfIBQJLstyMNCB52kaCBgl3MIBwtB+dl4CYiF91AF6Wk+p2yO4x3JngaUsJxFBWqSySFhFp3/z3HK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2982</Words>
  <Characters>16401</Characters>
  <Application>Microsoft Office Word</Application>
  <DocSecurity>0</DocSecurity>
  <Lines>136</Lines>
  <Paragraphs>38</Paragraphs>
  <ScaleCrop>false</ScaleCrop>
  <Company/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Pereira Romero</dc:creator>
  <cp:lastModifiedBy>Milena Pereira Romero</cp:lastModifiedBy>
  <cp:revision>2</cp:revision>
  <dcterms:created xsi:type="dcterms:W3CDTF">2022-08-22T22:38:00Z</dcterms:created>
  <dcterms:modified xsi:type="dcterms:W3CDTF">2022-09-01T20:21:00Z</dcterms:modified>
</cp:coreProperties>
</file>