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E2" w:rsidRDefault="00B209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pict w14:anchorId="725EE73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2556E2" w:rsidRPr="004633C7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Theme="minorHAnsi" w:eastAsia="Trebuchet MS" w:hAnsiTheme="minorHAnsi" w:cs="Trebuchet MS"/>
          <w:color w:val="006FB7"/>
          <w:sz w:val="30"/>
          <w:szCs w:val="30"/>
        </w:rPr>
      </w:pPr>
      <w:r w:rsidRPr="004633C7">
        <w:rPr>
          <w:rFonts w:asciiTheme="minorHAnsi" w:eastAsia="Trebuchet MS" w:hAnsiTheme="minorHAnsi" w:cs="Trebuchet MS"/>
          <w:color w:val="006FB7"/>
          <w:sz w:val="30"/>
          <w:szCs w:val="30"/>
        </w:rPr>
        <w:t xml:space="preserve">ANEXO </w:t>
      </w:r>
      <w:r w:rsidRPr="004633C7">
        <w:rPr>
          <w:rFonts w:asciiTheme="minorHAnsi" w:eastAsia="Trebuchet MS" w:hAnsiTheme="minorHAnsi" w:cs="Trebuchet MS"/>
          <w:color w:val="006FB7"/>
          <w:sz w:val="30"/>
          <w:szCs w:val="30"/>
        </w:rPr>
        <w:t>11</w:t>
      </w:r>
      <w:r w:rsidRPr="004633C7">
        <w:rPr>
          <w:rFonts w:asciiTheme="minorHAnsi" w:eastAsia="Trebuchet MS" w:hAnsiTheme="minorHAnsi" w:cs="Trebuchet MS"/>
          <w:color w:val="006FB7"/>
          <w:sz w:val="30"/>
          <w:szCs w:val="30"/>
        </w:rPr>
        <w:t xml:space="preserve">: </w:t>
      </w:r>
    </w:p>
    <w:p w:rsidR="002556E2" w:rsidRPr="004633C7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Theme="minorHAnsi" w:eastAsia="Trebuchet MS" w:hAnsiTheme="minorHAnsi" w:cs="Trebuchet MS"/>
          <w:color w:val="006FB7"/>
          <w:sz w:val="30"/>
          <w:szCs w:val="30"/>
        </w:rPr>
      </w:pPr>
      <w:r w:rsidRPr="004633C7">
        <w:rPr>
          <w:rFonts w:asciiTheme="minorHAnsi" w:eastAsia="Trebuchet MS" w:hAnsiTheme="minorHAnsi" w:cs="Trebuchet MS"/>
          <w:color w:val="006FB7"/>
          <w:sz w:val="30"/>
          <w:szCs w:val="30"/>
        </w:rPr>
        <w:t>Criterios técnicos para el proceso de programación de prestaciones de Cuidados Paliativos Universales</w:t>
      </w: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INTRODUCCIÓN</w:t>
      </w: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 Ley Nº 21.375 es la iniciativa legal que ampara el presente programa, vigente desde marzo de 2022. Se puede consultar la Orientación técnica o los Lineamientos de la misma para detalles. Como generalidades se destaca: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Desde 2005 existe la cobertura de C</w:t>
      </w:r>
      <w:r w:rsidRPr="004633C7">
        <w:rPr>
          <w:rFonts w:asciiTheme="minorHAnsi" w:eastAsia="Arial" w:hAnsiTheme="minorHAnsi" w:cs="Arial"/>
          <w:color w:val="000000" w:themeColor="text1"/>
        </w:rPr>
        <w:t>uidados Paliativos para personas con enfermedades oncológicas, esta Ley cubre la brecha no cubierta anteriormente, dando alivio de síntomas a las personas y sus familiares en el último año de su vida.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Las personas beneficiarias para Cuidados Paliativos Uni</w:t>
      </w:r>
      <w:r w:rsidRPr="004633C7">
        <w:rPr>
          <w:rFonts w:asciiTheme="minorHAnsi" w:eastAsia="Arial" w:hAnsiTheme="minorHAnsi" w:cs="Arial"/>
          <w:color w:val="000000" w:themeColor="text1"/>
        </w:rPr>
        <w:t xml:space="preserve">versales (CPU) fueron calculadas en base a estudio de ETESA UC, se planifica una cobertura del 40% de la población estimada para el 2023 (20% por año a 5 años). 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 detección de la persona beneficiaria puede ser en cualquier nivel de la red. Su seguimiento</w:t>
      </w:r>
      <w:r w:rsidRPr="004633C7">
        <w:rPr>
          <w:rFonts w:asciiTheme="minorHAnsi" w:eastAsia="Arial" w:hAnsiTheme="minorHAnsi" w:cs="Arial"/>
          <w:color w:val="000000" w:themeColor="text1"/>
        </w:rPr>
        <w:t xml:space="preserve"> deberá quedar a cargo de Equipo de atención primaria (APS) o secundaria según su nivel de complejidad.</w:t>
      </w:r>
    </w:p>
    <w:p w:rsidR="002556E2" w:rsidRPr="004633C7" w:rsidRDefault="002556E2">
      <w:pPr>
        <w:spacing w:before="0" w:line="240" w:lineRule="auto"/>
        <w:ind w:left="360"/>
        <w:rPr>
          <w:rFonts w:asciiTheme="minorHAnsi" w:eastAsia="Arial" w:hAnsiTheme="minorHAnsi" w:cs="Arial"/>
        </w:rPr>
      </w:pPr>
    </w:p>
    <w:p w:rsidR="002556E2" w:rsidRPr="004633C7" w:rsidRDefault="002556E2">
      <w:pPr>
        <w:spacing w:before="0" w:line="240" w:lineRule="auto"/>
        <w:ind w:left="360"/>
        <w:rPr>
          <w:rFonts w:asciiTheme="minorHAnsi" w:eastAsia="Arial" w:hAnsiTheme="minorHAnsi" w:cs="Arial"/>
        </w:rPr>
      </w:pPr>
    </w:p>
    <w:p w:rsidR="002556E2" w:rsidRPr="004633C7" w:rsidRDefault="00B20947">
      <w:pPr>
        <w:pStyle w:val="Ttulo1"/>
        <w:numPr>
          <w:ilvl w:val="0"/>
          <w:numId w:val="4"/>
        </w:numPr>
        <w:spacing w:before="0" w:line="240" w:lineRule="auto"/>
        <w:ind w:left="714" w:hanging="357"/>
        <w:rPr>
          <w:rFonts w:asciiTheme="minorHAnsi" w:eastAsia="Arial" w:hAnsiTheme="minorHAnsi" w:cs="Arial"/>
          <w:sz w:val="28"/>
          <w:szCs w:val="28"/>
        </w:rPr>
      </w:pPr>
      <w:r w:rsidRPr="004633C7">
        <w:rPr>
          <w:rFonts w:asciiTheme="minorHAnsi" w:eastAsia="Arial" w:hAnsiTheme="minorHAnsi" w:cs="Arial"/>
          <w:sz w:val="28"/>
          <w:szCs w:val="28"/>
        </w:rPr>
        <w:t>Establecimientos nivel primario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El equipo de atención primaria debe entregar los cuidados paliativos universales, acorde a los principios del Modelo d</w:t>
      </w:r>
      <w:r w:rsidRPr="004633C7">
        <w:rPr>
          <w:rFonts w:asciiTheme="minorHAnsi" w:eastAsia="Arial" w:hAnsiTheme="minorHAnsi" w:cs="Arial"/>
          <w:color w:val="000000" w:themeColor="text1"/>
        </w:rPr>
        <w:t>e Atención Integral en Salud Familiar y Comunitaria (MAIS).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Se recomienda que exista un/a profesional médico/a o no médico/a que actúe como referente de CPU en cada centro de salud y comuna.</w:t>
      </w:r>
    </w:p>
    <w:p w:rsidR="002556E2" w:rsidRPr="004633C7" w:rsidRDefault="00B20947">
      <w:pPr>
        <w:numPr>
          <w:ilvl w:val="0"/>
          <w:numId w:val="2"/>
        </w:num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 visita domiciliaria es la estrategia preferencial para las personas que se benefician de CPU en APS.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LINEAMIENTOS GENERALES PARA LA IMPLEMENTACIÓN DE LOS CPU EN APS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 equipo de atención primaria debe entregar los CPU, acorde a los principios del MAIS.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Siguiendo los lineamientos del MAIS, el trabajo clínico con la persona debe considerar a la familia, al entorno sociocultural más cercano, considerando además las práct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icas y recursos de los sistemas de salud indígenas, y al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intersector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>, si corresponde.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El/la jefe/a de sector, responsable de la situación sanitaria de su territorio, debe facilitar la coordinación del equipo de APS y el seguimiento propicio de esta poblaci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ón. En los establecimientos que cuenten con facilitador/a cultural, se deberá también coordinar con dicha persona.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Se recomienda que exista un/a profesional médico/a o no médico/a que actúe como referente de CPU en cada centro de salud y comuna.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El equipo 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debe ser multidisciplinario, acorde a las recomendaciones de la orientación técnica, e intercultural.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 registro de atención de todas las personas deberá ser consignado en la ficha clínica y mediante el registro de estadística mensual (REM).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La visita dom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iciliaria es la estrategia preferencial para las personas que se benefician de CPU en APS; en la programación y la gestión de las agendas de los profesionales se deben considerar los tiempos para realizar las visitas domiciliarias, incluyendo los traslados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y la movilización. También se debe considerar el uso del control o seguimiento telefónico, el que puede ser de ayuda sobre todo para evaluar la respuesta a síntomas.</w:t>
      </w:r>
    </w:p>
    <w:p w:rsidR="002556E2" w:rsidRPr="004633C7" w:rsidRDefault="00B209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Dentro de los recursos solicitados para el programa se cuenta con:</w:t>
      </w:r>
    </w:p>
    <w:p w:rsidR="002556E2" w:rsidRPr="004633C7" w:rsidRDefault="00B209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Recursos humanos. Se c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onsidera un promedio de horas mensuales/ persona beneficiaria de:</w:t>
      </w:r>
    </w:p>
    <w:tbl>
      <w:tblPr>
        <w:tblStyle w:val="a"/>
        <w:tblW w:w="4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2418"/>
      </w:tblGrid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Clínico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Horas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mensuales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caso</w:t>
            </w:r>
            <w:proofErr w:type="spellEnd"/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Enfermera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4.5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TENS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Químico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farmacéutico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Kinesiólogo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Psicólogo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lastRenderedPageBreak/>
              <w:t>Trabajador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 social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633C7" w:rsidRPr="004633C7">
        <w:trPr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Nutricionista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0.5</w:t>
            </w:r>
          </w:p>
        </w:tc>
      </w:tr>
    </w:tbl>
    <w:p w:rsidR="002556E2" w:rsidRPr="004633C7" w:rsidRDefault="00B209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Movilización</w:t>
      </w:r>
    </w:p>
    <w:p w:rsidR="002556E2" w:rsidRPr="004633C7" w:rsidRDefault="00B209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Insumos</w:t>
      </w:r>
    </w:p>
    <w:p w:rsidR="002556E2" w:rsidRPr="004633C7" w:rsidRDefault="00B209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Fármacos</w:t>
      </w:r>
    </w:p>
    <w:p w:rsidR="002556E2" w:rsidRPr="004633C7" w:rsidRDefault="00B2094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Oxígeno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Es deseable una comunicación apropiada a los Consejos de Desarrollo Local, organizaciones de la Sociedad Civil del territorio, entre otras; de tal forma de modular las expectativas de la población respecto a los requerimientos de CPU en lo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s territorios, ser facilitadores e incorporarlos activamente en las gestiones realizadas por el nivel local.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Se sugiere comunicación fluida entre APS y nivel secundario, de forma de garantizar el correcto flujo de personas beneficiarias. Dentro de este mar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co, los “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telecomités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>” son una forma segura con este fin y con fines docentes para los profesionales de APS.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Se contará con una capacitación virtual, cuyo público inicial es el personal contratado para el programa, pero que se sugiere que todo el personal c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línico de APS pueda realizarlo. 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LINEAMIENTOS SOBRE EL FLUJO DE PERSONAS DENTRO DE LA APS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La sospecha de que la persona puede requerir CPU puede generarse en cualquier consulta dentro de la APS y por cualquier profesional del equipo incluido el facilitador intercultural; ya sea que la atención se realice de manera ambulatoria, en el domicilio o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extramuro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>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El/ la enfermero/a gestor/a de APS debe proveer de mecanismos de derivación interna para aquellas personas que puedan requerir CPU. El destino de esta referencia interna es el/la profesional gestor/a de CPU del equipo, quien debe recibir las so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licitudes, priorizarlas y luego contactar telefónicamente a la persona o cuidador/familia para coordinar precozmente la evaluación e ingreso.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La consulta de ingreso debe ser realizada por el/la médico/a de atención primaria, en ella se debe: (1) Confirmar 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o descartar la condición terminal o grave de la persona y (2) evaluar el nivel de complejidad que requieren los cuidados de la persona.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Si el/la médico/a que realiza consulta de ingreso presenta reparos sobre el pronóstico de enfermedad terminal de la pers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ona, podrá presentar el caso al/la gestor/a de nivel secundario, quien según información entregada podrá dirimir vía telemática o solicitar evaluación presencial para dicho efecto. Este apoyo no debe retrasar el inicio de cuidados para el alivio del dolor 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y mejora de la calidad de vida.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Aquellas personas que requieren cuidados de mayor complejidad deben ser derivadas al nivel secundario acorde a criterios de referencia dentro de la red.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Generación de un Plan Integral Consensuado (PIC) en conjunto con enferm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era/o según las necesidades biopsicosociales detectadas coordinando la intervención de equipo multidisciplinario.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En todo momento se debe educar a la persona de su estado de salud, síntomas de alarma, buen uso de la red asistencial, entre otras; y consider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ando la autonomía de la misma.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El/ la enfermero/a gestor/a debe realizar un seguimiento del PCI a través de contacto telefónico, controles ambulatorios o domiciliarios, dependiendo de las necesidades de la persona y la disponibilidad de recursos a nivel local.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En caso de requerir atenci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ón por profesional de kinesiólogo/a, nutricionista,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matrón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>/a, psicólogo/a o trabajador/a social; el/la profesional debe recurrir al equipo contratado para este programa o a los disponibles en el sector, evitando la duplicación de actividades y complementan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do las acciones de otros programas de la atención primaria, por ejemplo, con el Equipo de Dependencia Severa.</w:t>
      </w:r>
    </w:p>
    <w:p w:rsidR="002556E2" w:rsidRPr="004633C7" w:rsidRDefault="00B20947">
      <w:pPr>
        <w:spacing w:before="0" w:after="160" w:line="259" w:lineRule="auto"/>
        <w:jc w:val="left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hAnsiTheme="minorHAnsi"/>
          <w:color w:val="000000" w:themeColor="text1"/>
        </w:rPr>
        <w:br w:type="page"/>
      </w: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lastRenderedPageBreak/>
        <w:t>REFERENCIA/ CONTRARREFERENCIA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Es crucial propiciar la comunicación entre el/la gestor/a del nivel secundario con el/la gestor/a de APS. Se sugie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re comunicación directa periódica entre los encargados de la Unidad de Cuidados Paliativos y el/la gestor/a del centro de APS de la persona beneficiaria.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Se sugiere el trabajo local desde las Unidades de Cuidados Paliativos en conjunto con la APS en criter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ios de complejidad (alto, intermedio o bajo), de forma de aunar criterios de referencia y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contrarreferencia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. 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En caso de que la persona beneficiaria cambie de complejidad baja/ intermedia a alta complejidad, deberá realizarse una referencia para su seguimi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ento por el nivel secundario. Como sugerencias considerar como de alta complejidad: síntomas persistentemente intensos, requerimiento de medicamentos no disponibles canasta de APS (ej. Metadona en personas con ERC etapa IV o V), consumo de alcohol o drogas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activo o reciente, sospecha de necesidad de sedación paliativa, uso de alta dosis de opioides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En caso de que la persona beneficiaria cambie de complejidad baja a intermedia, se deberá presentar en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en forma periódica. Como criterios de complejid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ad intermedia se sugiere: uso de dosis intermedia de opioides, casos con dudas ético/ valóricas, etc.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En el caso de personas beneficiarias detectadas en el nivel secundario, el/la médico/a médico del nivel secundario debe evaluar el nivel de complejidad de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la persona. De ser una complejidad baja, esta debe ser derivada a APS con el documento de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contrarreferencia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correspondiente, asegurando la continuidad de los cuidados. 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En caso de requerir hospitalización por exacerbación de los síntomas, o por otra causa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, la persona debe ser referida de manera asistida a la unidad hospitalaria, mediante una comunicación fluida con el/la profesional gestor/a del nivel secundario.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TELECOMITÉ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El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es la instancia periódica de comunicación para presentación de personas beneficiarias entre nivel secundario y APS. Puede usarse diversos medios para su realización, se sugiere por vía teleconferencia para centros con acceso a internet y por 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vía telefónica para los que no.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Dentro del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se puede definir: (1) que la persona es sujeto de cuidados de mayor nivel de especialización, por lo que se acuerda referencia al nivel secundario; (2) que la persona requiere de supervisiones por parte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del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, sin perjuicio que las acciones sean ejecutadas por el equipo de atención primaria; (3) que la persona puede seguir el plan trazado dentro de la atención primaria, con instrucción de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reconsultar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a dicho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telecomité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en circunstancias específi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cas y consensuadas y/o urgencias.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Desde APS deben asistir al menos el gestor/a de centro y el/la médico/a que presenta el caso. Se sugiere la asistencia de otros profesionales o </w:t>
      </w:r>
      <w:proofErr w:type="spellStart"/>
      <w:r w:rsidRPr="004633C7">
        <w:rPr>
          <w:rFonts w:asciiTheme="minorHAnsi" w:eastAsia="Arial" w:hAnsiTheme="minorHAnsi" w:cs="Arial"/>
          <w:color w:val="000000" w:themeColor="text1"/>
          <w:szCs w:val="22"/>
        </w:rPr>
        <w:t>TENs</w:t>
      </w:r>
      <w:proofErr w:type="spellEnd"/>
      <w:r w:rsidRPr="004633C7">
        <w:rPr>
          <w:rFonts w:asciiTheme="minorHAnsi" w:eastAsia="Arial" w:hAnsiTheme="minorHAnsi" w:cs="Arial"/>
          <w:color w:val="000000" w:themeColor="text1"/>
          <w:szCs w:val="22"/>
        </w:rPr>
        <w:t>, dado que la instancia además de ser asistencial contribuye a la capacita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ción del personal de APS.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CAPACITACIÓN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La División de Atención Primaria, del MINSAL, en conjunto con la OPS y Sociedades científicas del área, han elaborado un Curso de CPU para la APS gratuito y de autoaprendizaje, basado en un curso ya realizado por la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 xml:space="preserve"> OPS, adaptado a la realidad chilena.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El crucial que los profesionales y TENS que sean contratados/ honorarios puedan realizarlo. Se sugiere también que lo realicen el resto del personal clínico de la APS.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Este curso dispondrá de certificación para los par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ticipantes.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Duración de 60 horas cronológicas</w:t>
      </w:r>
    </w:p>
    <w:p w:rsidR="002556E2" w:rsidRPr="004633C7" w:rsidRDefault="00B209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14" w:hanging="357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Se sugiere propiciar espacios dentro del horario de trabajo para horas indirectas a destinar para su realización. Sin embargo, dado que la implementación de la ley debe realizarse desde la llegada de los recurs</w:t>
      </w:r>
      <w:r w:rsidRPr="004633C7">
        <w:rPr>
          <w:rFonts w:asciiTheme="minorHAnsi" w:eastAsia="Arial" w:hAnsiTheme="minorHAnsi" w:cs="Arial"/>
          <w:color w:val="000000" w:themeColor="text1"/>
          <w:szCs w:val="22"/>
        </w:rPr>
        <w:t>os, se deberá priorizar la atención clínica.</w:t>
      </w:r>
    </w:p>
    <w:p w:rsidR="002556E2" w:rsidRPr="004633C7" w:rsidRDefault="00B20947">
      <w:pPr>
        <w:spacing w:before="0" w:after="160" w:line="259" w:lineRule="auto"/>
        <w:jc w:val="left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hAnsiTheme="minorHAnsi"/>
          <w:color w:val="000000" w:themeColor="text1"/>
        </w:rPr>
        <w:br w:type="page"/>
      </w: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lastRenderedPageBreak/>
        <w:t>COBERTURA</w:t>
      </w:r>
    </w:p>
    <w:p w:rsidR="002556E2" w:rsidRPr="004633C7" w:rsidRDefault="00B20947">
      <w:pPr>
        <w:spacing w:before="0" w:line="240" w:lineRule="auto"/>
        <w:ind w:left="357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Las personas beneficiarias fueron calculadas en base a estudio de ETESA UC, se planifica una cobertura del 40% de la población estimada para el 2023 (20% por año a 5 años), correspondiente a 5.117 pe</w:t>
      </w:r>
      <w:r w:rsidRPr="004633C7">
        <w:rPr>
          <w:rFonts w:asciiTheme="minorHAnsi" w:eastAsia="Arial" w:hAnsiTheme="minorHAnsi" w:cs="Arial"/>
          <w:color w:val="000000" w:themeColor="text1"/>
        </w:rPr>
        <w:t>rsonas. El número de personas fue calculado por área territorial y se puede acceder a ella por el anexo del PRAPS del programa.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ACTIVIDADES EN ATENCIÓN PRIMARIA</w:t>
      </w:r>
    </w:p>
    <w:tbl>
      <w:tblPr>
        <w:tblStyle w:val="a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42"/>
        <w:gridCol w:w="2268"/>
        <w:gridCol w:w="2410"/>
        <w:gridCol w:w="2410"/>
      </w:tblGrid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Actividad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Espacio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Responsable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Objetivo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Rendimiento</w:t>
            </w:r>
            <w:proofErr w:type="spellEnd"/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Pesquisa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Comorbilidad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Sala IRA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Control cardiovascular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Visita domiciliaria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Cualquier profesional clínico, debe dar aviso a gestor/a de CPU del centro quien debe llevar registro y agendar para evaluación médica inicial.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Identificar a los posibles beneficiarios del programa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No estipul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ado en pesquisa.</w:t>
            </w:r>
          </w:p>
          <w:p w:rsidR="002556E2" w:rsidRPr="004633C7" w:rsidRDefault="002556E2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Agendamiento por Gestor/a en tiempo administrativo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Evaluación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inicial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Revisión de ficha clínica en box o mediante evaluación directa del posible beneficiario para determinar pertinencia de ingreso a programa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cirujano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Confirmar el ingreso al programa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4 casos/hora 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Tiempo administrativo 15 minutos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Visita con plan integral consensuado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paciente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Médico cirujano+ otro profesional 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Realizar evaluación integral de la persona beneficiaria y su familia.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Plan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ificar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cuidados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desde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lo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biomédico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psicosocial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1 hora, considera movilización, registro, realización de recetas y referencia en los casos que lo requieran.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Visita domiciliaria tratamiento/ rehabilitación/ Seguimiento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2556E2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u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Realizar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 nueva evaluación sintomática, comprobar si alivio/ no alivio de síntomas, educación a familia en los cuidados.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1 hora, considera movilización, registro, realización de recetas y referencia en los casos que lo requieran.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Procedimientos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enfermería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o box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Equipo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enfermería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Curaciones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Instalación de VSC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Instalación de sonda vesical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pacientes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/hora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Control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ambulatorio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 u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Realizar evaluación integral de la persona beneficiaria y su familia.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Planificar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cuidados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desde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lo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biomédico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psicosocial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30 min, considera entrevista al beneficiario/a y/o cuidador, registro, realización de recetas y referencia en los casos que lo requi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eran.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telefónica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Dudas concretas, receta de medicamentos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15 min por paciente, 4 pacientes por hora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Atención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ambulatoria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familiares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otro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Dudas concretas, receta de medicamentos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15 min por paciente, 4 pacientes por hora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Servicios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farmacéuticos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Farmacia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Químico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farmacéutico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Conciliación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farmacéutica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30 min por paciente, 2 pacientes por hora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Apoyo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psicológico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al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usuario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Box 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Psicólogo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Apoyo psicológico a bene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ficiario/a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30 min en box, 1 hora en domicilio.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Considera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movilización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registro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Apoyo social al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usuario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Box 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Trabajador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 social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Apoyo social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30 min en box, 1 hora en domicilio.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Considera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movilización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registro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Apoyo psicológico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lastRenderedPageBreak/>
              <w:t>a familia o cuidadores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lastRenderedPageBreak/>
              <w:t xml:space="preserve">Box 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Psicólogo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Apoyo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psicológico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cuidador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30 min en box, 1 hora en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lastRenderedPageBreak/>
              <w:t xml:space="preserve">domicilio.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Considera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movilización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registro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Educación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Box 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domiciliaria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Todo clínico que atienda al beneficiario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Educar en temas relevantes a los cuidados del beneficiario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En cualquier instancia de contacto, sin rendimiento exclusivo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Apoyo en la gestión de voluntades anticipadas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Box o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domiciliaria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Profesionales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Respectar decisiones del beneficiario respecto a procedimientos/ tratamientos a recibir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En cualquier instancia de contacto, sin rendimiento exclusivo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Gestión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Box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Gestor/a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centro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Agendamiento de posibles beneficiarios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Agendamiento de VIC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Agendamiento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seguimiento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1.5 h/ semana si comuna con 20 o menos beneficiarios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3 h/ semana si comuna con 21-40 beneficiarios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4.5 h/ semana si comuna con 41 o más beneficiarios</w:t>
            </w:r>
          </w:p>
        </w:tc>
      </w:tr>
      <w:tr w:rsidR="004633C7" w:rsidRPr="004633C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Telecomité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Telefónico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/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videoconferencia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Gestor/a centro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Médico/a que presenta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Realizar seguimiento de beneficiarios con complejidad intermedia, dudas para ingreso de beneficiario o dudas del seguimiento.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widowControl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horas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periódicas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vertAlign w:val="superscript"/>
              </w:rPr>
              <w:footnoteReference w:id="2"/>
            </w:r>
          </w:p>
        </w:tc>
      </w:tr>
    </w:tbl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b/>
          <w:color w:val="000000" w:themeColor="text1"/>
        </w:rPr>
      </w:pPr>
      <w:r w:rsidRPr="004633C7">
        <w:rPr>
          <w:rFonts w:asciiTheme="minorHAnsi" w:eastAsia="Arial" w:hAnsiTheme="minorHAnsi" w:cs="Arial"/>
          <w:b/>
          <w:color w:val="000000" w:themeColor="text1"/>
        </w:rPr>
        <w:t>ACTIVIDADES POR PROFESIONAL</w:t>
      </w:r>
    </w:p>
    <w:tbl>
      <w:tblPr>
        <w:tblStyle w:val="a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27"/>
        <w:gridCol w:w="6795"/>
      </w:tblGrid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Profesional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Actividad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b/>
                <w:color w:val="000000" w:themeColor="text1"/>
                <w:sz w:val="18"/>
                <w:szCs w:val="18"/>
              </w:rPr>
              <w:t>Definición</w:t>
            </w:r>
            <w:proofErr w:type="spellEnd"/>
          </w:p>
        </w:tc>
      </w:tr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Kinesiólogo/a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Fonoaudiólogo/a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Médico/a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Matrona 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Terapeuta ocupacional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Enfermera/o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Pesquisa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En atención de cualquier tipo, se pesquisa que persona tiene dos o más de los siguientes antecedentes: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Multimorbilidad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avanzada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ver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OT)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Más de 2 consultas en SU en últimos 6 meses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Síntomas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descompensados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intensos</w:t>
            </w:r>
            <w:proofErr w:type="spellEnd"/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Necesidad de cuidados paliativos solicitados por cuidador o equipo médico (registro clínico)</w:t>
            </w:r>
          </w:p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El profesional que pesquisa debe dar aviso al/la gestor/a de UCP del centro para su registro y agendamiento de hora para identific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ación de caso.</w:t>
            </w:r>
          </w:p>
        </w:tc>
      </w:tr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cirujano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Identificación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caso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Médico debe revisar ficha clínica para recopilar antecedentes que apoyen la necesidad de atención paliativa en persona con pronóstico menor a 12 meses. En caso de no cumplir con criterios deberá manten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er seguimiento según su condición/ enfermedad.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Para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más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detalle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ver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Orientación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técnica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programa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Gestor/a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Agendamiento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seguimiento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Mantiene registro de personas pesquisadas como potencialmente beneficiarias, de personas beneficiarias en el programa y agenda su primera visita domiciliaria para PIC y seguimiento. </w:t>
            </w:r>
          </w:p>
        </w:tc>
      </w:tr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Profesional del equipo de UCP/ Dependencia severa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para PIC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Visit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 integral en dupla médico/ profesional para: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Recopilación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antecedentes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Evaluación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síntomas</w:t>
            </w:r>
            <w:proofErr w:type="spellEnd"/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Diseño de PIC, con indicaciones médicas y no médicas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Realización de procedimientos por Equipo d enfermería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Apoyo psicológico por psicólogo/a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 usuario o cuid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ador/a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Apoyo social por trabajador/a social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Educación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a la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familia</w:t>
            </w:r>
            <w:proofErr w:type="spellEnd"/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Apoyo en la gestión de voluntades anticipadas</w:t>
            </w:r>
          </w:p>
          <w:p w:rsidR="002556E2" w:rsidRPr="004633C7" w:rsidRDefault="00B2094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Evaluación de nivel de complejidad de persona beneficiaria para seguimiento en próximas ocasiones. Si complejidad baja o intermedio seguimiento desde APS, si complejidad alta desde nivel secundario (ver lineamientos del programa).</w:t>
            </w:r>
          </w:p>
        </w:tc>
      </w:tr>
      <w:tr w:rsidR="004633C7" w:rsidRPr="004633C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Profesional del equipo d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e UCP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vertAlign w:val="superscript"/>
              </w:rPr>
              <w:footnoteReference w:id="4"/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/ Dependencia severa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Seguimiento</w:t>
            </w:r>
            <w:proofErr w:type="spellEnd"/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E2" w:rsidRPr="004633C7" w:rsidRDefault="00B20947">
            <w:pPr>
              <w:spacing w:before="0" w:line="240" w:lineRule="auto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>Instancia de control, telefónico, videoconferencia o presencial, para reevaluar síntomas físicos, psicológicos o condiciones del ámbito social; ajustar farmacoterapia y agregar indicaciones atingentes. Siempre se debe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t xml:space="preserve">rá reevaluar nivel de complejidad en caso de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  <w:lang w:val="es-CL"/>
              </w:rPr>
              <w:lastRenderedPageBreak/>
              <w:t>evaluaciones médicas del beneficiario/a, ya que el estado del mismo podría ser dinámico y requerir la evaluación por un especialista.</w:t>
            </w:r>
          </w:p>
        </w:tc>
      </w:tr>
    </w:tbl>
    <w:p w:rsidR="002556E2" w:rsidRPr="004633C7" w:rsidRDefault="002556E2">
      <w:pPr>
        <w:rPr>
          <w:rFonts w:asciiTheme="minorHAnsi" w:hAnsiTheme="minorHAnsi"/>
        </w:rPr>
      </w:pPr>
    </w:p>
    <w:p w:rsidR="002556E2" w:rsidRPr="004633C7" w:rsidRDefault="00B20947">
      <w:pPr>
        <w:pStyle w:val="Ttulo1"/>
        <w:numPr>
          <w:ilvl w:val="0"/>
          <w:numId w:val="4"/>
        </w:numPr>
        <w:spacing w:before="0" w:line="240" w:lineRule="auto"/>
        <w:rPr>
          <w:rFonts w:asciiTheme="minorHAnsi" w:eastAsia="Arial" w:hAnsiTheme="minorHAnsi" w:cs="Arial"/>
          <w:color w:val="2F5496"/>
          <w:sz w:val="28"/>
          <w:szCs w:val="28"/>
        </w:rPr>
      </w:pPr>
      <w:r w:rsidRPr="004633C7">
        <w:rPr>
          <w:rFonts w:asciiTheme="minorHAnsi" w:eastAsia="Arial" w:hAnsiTheme="minorHAnsi" w:cs="Arial"/>
          <w:color w:val="2F5496"/>
          <w:sz w:val="28"/>
          <w:szCs w:val="28"/>
        </w:rPr>
        <w:t>Hospitales y establecimientos ambulatorios de especialidad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 xml:space="preserve">Las prestaciones que cada hospital y establecimiento ambulatorio de especialidad </w:t>
      </w:r>
      <w:proofErr w:type="gramStart"/>
      <w:r w:rsidRPr="004633C7">
        <w:rPr>
          <w:rFonts w:asciiTheme="minorHAnsi" w:eastAsia="Arial" w:hAnsiTheme="minorHAnsi" w:cs="Arial"/>
          <w:color w:val="000000" w:themeColor="text1"/>
        </w:rPr>
        <w:t>programe</w:t>
      </w:r>
      <w:proofErr w:type="gramEnd"/>
      <w:r w:rsidRPr="004633C7">
        <w:rPr>
          <w:rFonts w:asciiTheme="minorHAnsi" w:eastAsia="Arial" w:hAnsiTheme="minorHAnsi" w:cs="Arial"/>
          <w:color w:val="000000" w:themeColor="text1"/>
        </w:rPr>
        <w:t xml:space="preserve"> deben ajustarse a su cartera de servicios, en base a su rol en la red de cuidados paliativos universales del Servicio de Salud al que pertenece y al Modelo de Atenció</w:t>
      </w:r>
      <w:r w:rsidRPr="004633C7">
        <w:rPr>
          <w:rFonts w:asciiTheme="minorHAnsi" w:eastAsia="Arial" w:hAnsiTheme="minorHAnsi" w:cs="Arial"/>
          <w:color w:val="000000" w:themeColor="text1"/>
        </w:rPr>
        <w:t>n de Cuidados Paliativos Universales vigente.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Los hospitales y establecimientos ambulatorios que cuentan con especialidad y que darán respuesta a casos complejos y altamente complejos según las OOTT de CPU vigentes, programarán principalmente prestaciones</w:t>
      </w:r>
      <w:r w:rsidRPr="004633C7">
        <w:rPr>
          <w:rFonts w:asciiTheme="minorHAnsi" w:eastAsia="Arial" w:hAnsiTheme="minorHAnsi" w:cs="Arial"/>
          <w:color w:val="000000" w:themeColor="text1"/>
        </w:rPr>
        <w:t xml:space="preserve"> de médico y enfermera, dando énfasis a la coordinación con el nivel primario de atención que realizará la mayor parte de las atenciones presenciales a los pacientes (en la institución o en el domicilio). </w:t>
      </w: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Los hospitales de baja complejidad que en modalida</w:t>
      </w:r>
      <w:r w:rsidRPr="004633C7">
        <w:rPr>
          <w:rFonts w:asciiTheme="minorHAnsi" w:eastAsia="Arial" w:hAnsiTheme="minorHAnsi" w:cs="Arial"/>
          <w:color w:val="000000" w:themeColor="text1"/>
        </w:rPr>
        <w:t xml:space="preserve">d ambulatoria cumplen un rol como prestador en el nivel primario de atención programarán las prestaciones definidas para dicho nivel de atención según el Modelo de Cuidados Paliativos vigente. 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Los siguientes estándares recomendados constituyen un promedi</w:t>
      </w:r>
      <w:r w:rsidRPr="004633C7">
        <w:rPr>
          <w:rFonts w:asciiTheme="minorHAnsi" w:eastAsia="Arial" w:hAnsiTheme="minorHAnsi" w:cs="Arial"/>
          <w:color w:val="000000" w:themeColor="text1"/>
        </w:rPr>
        <w:t>o del tiempo utilizado para cada prestación y son aplicables en la programación de la actividad clínico asistencial presencial (ambulatoria, cerrada, domicilio) y/o a distancia de hospitales y/o centros de especialidad.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r w:rsidRPr="004633C7">
        <w:rPr>
          <w:rFonts w:asciiTheme="minorHAnsi" w:eastAsia="Arial" w:hAnsiTheme="minorHAnsi" w:cs="Arial"/>
          <w:color w:val="000000" w:themeColor="text1"/>
        </w:rPr>
        <w:t>La definición de las prestaciones v</w:t>
      </w:r>
      <w:r w:rsidRPr="004633C7">
        <w:rPr>
          <w:rFonts w:asciiTheme="minorHAnsi" w:eastAsia="Arial" w:hAnsiTheme="minorHAnsi" w:cs="Arial"/>
          <w:color w:val="000000" w:themeColor="text1"/>
        </w:rPr>
        <w:t xml:space="preserve">inculadas a la atención de personas que requieren cuidados paliativos por una enfermedad grave o terminal (oncológica o no oncológica) </w:t>
      </w:r>
      <w:proofErr w:type="gramStart"/>
      <w:r w:rsidRPr="004633C7">
        <w:rPr>
          <w:rFonts w:asciiTheme="minorHAnsi" w:eastAsia="Arial" w:hAnsiTheme="minorHAnsi" w:cs="Arial"/>
          <w:color w:val="000000" w:themeColor="text1"/>
        </w:rPr>
        <w:t>están</w:t>
      </w:r>
      <w:proofErr w:type="gramEnd"/>
      <w:r w:rsidRPr="004633C7">
        <w:rPr>
          <w:rFonts w:asciiTheme="minorHAnsi" w:eastAsia="Arial" w:hAnsiTheme="minorHAnsi" w:cs="Arial"/>
          <w:color w:val="000000" w:themeColor="text1"/>
        </w:rPr>
        <w:t xml:space="preserve"> contenidas en el manual REM vigente.</w:t>
      </w: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</w:rPr>
      </w:pPr>
    </w:p>
    <w:tbl>
      <w:tblPr>
        <w:tblStyle w:val="a2"/>
        <w:tblW w:w="9962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2592"/>
        <w:gridCol w:w="2441"/>
        <w:gridCol w:w="2494"/>
      </w:tblGrid>
      <w:tr w:rsidR="002556E2" w:rsidRPr="004633C7">
        <w:trPr>
          <w:trHeight w:val="20"/>
        </w:trPr>
        <w:tc>
          <w:tcPr>
            <w:tcW w:w="2435" w:type="dxa"/>
            <w:shd w:val="clear" w:color="auto" w:fill="2E7CC0"/>
            <w:vAlign w:val="center"/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PRESTACIÓN</w:t>
            </w:r>
          </w:p>
        </w:tc>
        <w:tc>
          <w:tcPr>
            <w:tcW w:w="2592" w:type="dxa"/>
            <w:shd w:val="clear" w:color="auto" w:fill="2E7CC0"/>
            <w:vAlign w:val="center"/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PROFESIONAL</w:t>
            </w:r>
          </w:p>
        </w:tc>
        <w:tc>
          <w:tcPr>
            <w:tcW w:w="2441" w:type="dxa"/>
            <w:shd w:val="clear" w:color="auto" w:fill="2E7CC0"/>
            <w:vAlign w:val="center"/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RENDIMIENTO</w:t>
            </w:r>
          </w:p>
        </w:tc>
        <w:tc>
          <w:tcPr>
            <w:tcW w:w="2494" w:type="dxa"/>
            <w:shd w:val="clear" w:color="auto" w:fill="2E7CC0"/>
            <w:vAlign w:val="center"/>
          </w:tcPr>
          <w:p w:rsidR="002556E2" w:rsidRPr="004633C7" w:rsidRDefault="00B20947">
            <w:pPr>
              <w:spacing w:before="0" w:line="240" w:lineRule="auto"/>
              <w:jc w:val="center"/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b/>
                <w:color w:val="FFFFFF"/>
                <w:sz w:val="18"/>
                <w:szCs w:val="18"/>
              </w:rPr>
              <w:t>OBSERVACIONES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1,5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40 minutos. Considera la </w:t>
            </w:r>
            <w:proofErr w:type="spellStart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interconsuta</w:t>
            </w:r>
            <w:proofErr w:type="spellEnd"/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 a sala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Control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minutos. Considera la interconsulta a sala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Procedimiento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Atención farmacéutica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Q. farmacéutico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Enfermera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Procedimiento enfermería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Enfermera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Nutricionista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Psicólogo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Kinesiólogo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T. ocupacional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Consulta nueva/control profesional no médico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T. social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2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30 minutos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Tele comité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Médico, Enfermera, Psicólogo, Kinesiólogo, T. Ocupacional, Nutricionista, T. social, Q. farmacéutico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6 pacientes / 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10 minutos por caso presentado</w:t>
            </w:r>
          </w:p>
        </w:tc>
      </w:tr>
      <w:tr w:rsidR="002556E2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Visita domiciliaria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Médico, Enfermera, Psicólogo, Kinesiólogo, T. Ocupacional, Nutricionista, T. social, Q. farmacéutico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 paciente/hora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90 a 120 minutos, 60 minutos de atención, 30 o 60 minutos en traslado</w:t>
            </w:r>
          </w:p>
        </w:tc>
      </w:tr>
      <w:tr w:rsidR="004633C7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Contacto telefónico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Médico, Enfermera, Psicólogo, Kinesiólogo, T. Ocupacional,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lastRenderedPageBreak/>
              <w:t>Nutricionista, T. social, Q. farmacéutico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lastRenderedPageBreak/>
              <w:t>4 pacientes/hora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15 minutos</w:t>
            </w:r>
          </w:p>
        </w:tc>
      </w:tr>
      <w:tr w:rsidR="004633C7" w:rsidRPr="004633C7">
        <w:trPr>
          <w:trHeight w:val="20"/>
        </w:trPr>
        <w:tc>
          <w:tcPr>
            <w:tcW w:w="2435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Taller grupal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Psicólogo, Q. farmacéutico, T. social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Según condiciones </w:t>
            </w:r>
          </w:p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locales y aforo permitido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556E2" w:rsidRPr="004633C7" w:rsidRDefault="00B20947">
            <w:pPr>
              <w:spacing w:before="0" w:line="240" w:lineRule="auto"/>
              <w:jc w:val="left"/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</w:pP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 xml:space="preserve">Duración </w:t>
            </w:r>
            <w:r w:rsidRPr="004633C7">
              <w:rPr>
                <w:rFonts w:asciiTheme="minorHAnsi" w:eastAsia="Arial" w:hAnsiTheme="minorHAnsi" w:cs="Arial"/>
                <w:color w:val="000000" w:themeColor="text1"/>
                <w:sz w:val="18"/>
                <w:szCs w:val="18"/>
              </w:rPr>
              <w:t>1 hora</w:t>
            </w:r>
          </w:p>
        </w:tc>
      </w:tr>
    </w:tbl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</w:p>
    <w:p w:rsidR="002556E2" w:rsidRPr="004633C7" w:rsidRDefault="002556E2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</w:p>
    <w:p w:rsidR="002556E2" w:rsidRPr="004633C7" w:rsidRDefault="00B20947">
      <w:pPr>
        <w:spacing w:before="0" w:line="240" w:lineRule="auto"/>
        <w:rPr>
          <w:rFonts w:asciiTheme="minorHAnsi" w:eastAsia="Arial" w:hAnsiTheme="minorHAnsi" w:cs="Arial"/>
          <w:color w:val="000000" w:themeColor="text1"/>
        </w:rPr>
      </w:pPr>
      <w:bookmarkStart w:id="0" w:name="_heading=h.gjdgxs" w:colFirst="0" w:colLast="0"/>
      <w:bookmarkEnd w:id="0"/>
      <w:r w:rsidRPr="004633C7">
        <w:rPr>
          <w:rFonts w:asciiTheme="minorHAnsi" w:eastAsia="Arial" w:hAnsiTheme="minorHAnsi" w:cs="Arial"/>
          <w:color w:val="000000" w:themeColor="text1"/>
        </w:rPr>
        <w:t>Otras actividades del equipo:</w:t>
      </w:r>
    </w:p>
    <w:p w:rsidR="002556E2" w:rsidRPr="004633C7" w:rsidRDefault="00B2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Gestión clínico-administrativa enfermería: preparación de antecedentes de pacientes para tele comité gestión de pacientes.</w:t>
      </w:r>
    </w:p>
    <w:p w:rsidR="002556E2" w:rsidRPr="004633C7" w:rsidRDefault="00B2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Capacitación, todo el equipo</w:t>
      </w:r>
    </w:p>
    <w:p w:rsidR="002556E2" w:rsidRPr="004633C7" w:rsidRDefault="00B2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="Arial"/>
          <w:color w:val="000000" w:themeColor="text1"/>
          <w:szCs w:val="22"/>
        </w:rPr>
      </w:pPr>
      <w:r w:rsidRPr="004633C7">
        <w:rPr>
          <w:rFonts w:asciiTheme="minorHAnsi" w:eastAsia="Arial" w:hAnsiTheme="minorHAnsi" w:cs="Arial"/>
          <w:color w:val="000000" w:themeColor="text1"/>
          <w:szCs w:val="22"/>
        </w:rPr>
        <w:t>Registros, todo el equipo</w:t>
      </w:r>
      <w:bookmarkStart w:id="1" w:name="_GoBack"/>
      <w:bookmarkEnd w:id="1"/>
    </w:p>
    <w:sectPr w:rsidR="002556E2" w:rsidRPr="004633C7">
      <w:headerReference w:type="default" r:id="rId8"/>
      <w:pgSz w:w="12240" w:h="15840"/>
      <w:pgMar w:top="1134" w:right="1134" w:bottom="1134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47" w:rsidRDefault="00B20947">
      <w:pPr>
        <w:spacing w:before="0" w:line="240" w:lineRule="auto"/>
      </w:pPr>
      <w:r>
        <w:separator/>
      </w:r>
    </w:p>
  </w:endnote>
  <w:endnote w:type="continuationSeparator" w:id="0">
    <w:p w:rsidR="00B20947" w:rsidRDefault="00B209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47" w:rsidRDefault="00B20947">
      <w:pPr>
        <w:spacing w:before="0" w:line="240" w:lineRule="auto"/>
      </w:pPr>
      <w:r>
        <w:separator/>
      </w:r>
    </w:p>
  </w:footnote>
  <w:footnote w:type="continuationSeparator" w:id="0">
    <w:p w:rsidR="00B20947" w:rsidRDefault="00B20947">
      <w:pPr>
        <w:spacing w:before="0" w:line="240" w:lineRule="auto"/>
      </w:pPr>
      <w:r>
        <w:continuationSeparator/>
      </w:r>
    </w:p>
  </w:footnote>
  <w:footnote w:id="1">
    <w:p w:rsidR="002556E2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En caso de que médico tenga dudas sobre cumplimiento de criterios de ingreso, podrá realizar visita para complementar antecedentes y/o presentar caso a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telecomité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</w:footnote>
  <w:footnote w:id="2">
    <w:p w:rsidR="002556E2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La periodicidad de las reuniones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telecomité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deberán ajustarse a realidad local, se sugiere realizar cada 1 o 2 semanas.</w:t>
      </w:r>
    </w:p>
  </w:footnote>
  <w:footnote w:id="3">
    <w:p w:rsidR="002556E2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Estos profesionales se refieren a todos aquellos que cumplen rol clínico en su centro, independiente de su función específica.</w:t>
      </w:r>
    </w:p>
  </w:footnote>
  <w:footnote w:id="4">
    <w:p w:rsidR="002556E2" w:rsidRDefault="00B2094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cs="Tahoma"/>
          <w:color w:val="767171"/>
          <w:sz w:val="20"/>
          <w:szCs w:val="20"/>
        </w:rPr>
      </w:pPr>
      <w:r>
        <w:rPr>
          <w:vertAlign w:val="superscript"/>
        </w:rPr>
        <w:footnoteRef/>
      </w:r>
      <w:r>
        <w:rPr>
          <w:rFonts w:cs="Tahoma"/>
          <w:color w:val="767171"/>
          <w:sz w:val="18"/>
          <w:szCs w:val="18"/>
        </w:rPr>
        <w:t xml:space="preserve"> E</w:t>
      </w:r>
      <w:r>
        <w:rPr>
          <w:rFonts w:cs="Tahoma"/>
          <w:color w:val="767171"/>
          <w:sz w:val="18"/>
          <w:szCs w:val="18"/>
        </w:rPr>
        <w:t xml:space="preserve">stos profesionales se refieren a los recursos humanos contratados con el fin de implementar este programa.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E2" w:rsidRDefault="00B209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rPr>
        <w:rFonts w:cs="Tahoma"/>
        <w:color w:val="767171"/>
        <w:szCs w:val="22"/>
      </w:rPr>
    </w:pPr>
    <w:r>
      <w:rPr>
        <w:rFonts w:cs="Tahoma"/>
        <w:color w:val="767171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12.4pt;height:247.45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2D6"/>
    <w:multiLevelType w:val="multilevel"/>
    <w:tmpl w:val="035E6A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6FD6"/>
    <w:multiLevelType w:val="multilevel"/>
    <w:tmpl w:val="84762E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F198B"/>
    <w:multiLevelType w:val="multilevel"/>
    <w:tmpl w:val="45F8BC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3" w15:restartNumberingAfterBreak="0">
    <w:nsid w:val="373B0633"/>
    <w:multiLevelType w:val="multilevel"/>
    <w:tmpl w:val="2292A1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E1954"/>
    <w:multiLevelType w:val="multilevel"/>
    <w:tmpl w:val="CD62CC1C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E2"/>
    <w:rsid w:val="002556E2"/>
    <w:rsid w:val="004633C7"/>
    <w:rsid w:val="00B2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030CB3E7-E0ED-4D40-AC35-BF599DAB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color w:val="767171"/>
        <w:sz w:val="22"/>
        <w:szCs w:val="22"/>
        <w:lang w:val="es-ES" w:eastAsia="es-CL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4B"/>
    <w:rPr>
      <w:rFonts w:cs="Times New Roman"/>
      <w:color w:val="767171" w:themeColor="background2" w:themeShade="8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056E"/>
    <w:pPr>
      <w:keepNext/>
      <w:keepLines/>
      <w:spacing w:before="240"/>
      <w:outlineLvl w:val="0"/>
    </w:pPr>
    <w:rPr>
      <w:rFonts w:eastAsiaTheme="majorEastAsia" w:cstheme="majorBidi"/>
      <w:color w:val="2E74B5" w:themeColor="accent5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0362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F5054"/>
    <w:pPr>
      <w:spacing w:before="0"/>
      <w:ind w:left="720"/>
    </w:pPr>
    <w:rPr>
      <w:rFonts w:eastAsiaTheme="minorHAnsi" w:cs="Calibri"/>
      <w:szCs w:val="22"/>
    </w:rPr>
  </w:style>
  <w:style w:type="table" w:customStyle="1" w:styleId="TableNormal0">
    <w:name w:val="Table Normal"/>
    <w:uiPriority w:val="2"/>
    <w:semiHidden/>
    <w:unhideWhenUsed/>
    <w:qFormat/>
    <w:rsid w:val="00F0677A"/>
    <w:pPr>
      <w:widowControl w:val="0"/>
      <w:autoSpaceDE w:val="0"/>
      <w:autoSpaceDN w:val="0"/>
      <w:spacing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677A"/>
    <w:pPr>
      <w:widowControl w:val="0"/>
      <w:autoSpaceDE w:val="0"/>
      <w:autoSpaceDN w:val="0"/>
      <w:spacing w:before="0" w:line="240" w:lineRule="auto"/>
      <w:jc w:val="left"/>
    </w:pPr>
    <w:rPr>
      <w:rFonts w:cs="Tahoma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C54C62"/>
    <w:pPr>
      <w:widowControl w:val="0"/>
      <w:autoSpaceDE w:val="0"/>
      <w:autoSpaceDN w:val="0"/>
      <w:spacing w:before="0" w:line="240" w:lineRule="auto"/>
      <w:jc w:val="left"/>
    </w:pPr>
    <w:rPr>
      <w:rFonts w:cs="Tahoma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C62"/>
    <w:rPr>
      <w:rFonts w:ascii="Tahoma" w:eastAsia="Tahoma" w:hAnsi="Tahoma" w:cs="Tahoma"/>
      <w:lang w:val="es-ES"/>
    </w:rPr>
  </w:style>
  <w:style w:type="character" w:styleId="Ttulodellibro">
    <w:name w:val="Book Title"/>
    <w:basedOn w:val="Fuentedeprrafopredeter"/>
    <w:uiPriority w:val="33"/>
    <w:qFormat/>
    <w:rsid w:val="00C2784B"/>
    <w:rPr>
      <w:b/>
      <w:bCs/>
      <w:i/>
      <w:iCs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77E4"/>
    <w:pPr>
      <w:spacing w:before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7E4"/>
    <w:rPr>
      <w:rFonts w:eastAsiaTheme="minorHAnsi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277E4"/>
    <w:rPr>
      <w:vertAlign w:val="superscript"/>
    </w:rPr>
  </w:style>
  <w:style w:type="table" w:styleId="Tablaconcuadrcula">
    <w:name w:val="Table Grid"/>
    <w:basedOn w:val="Tablanormal"/>
    <w:uiPriority w:val="39"/>
    <w:rsid w:val="008277E4"/>
    <w:pPr>
      <w:spacing w:line="240" w:lineRule="auto"/>
    </w:pPr>
    <w:rPr>
      <w:rFonts w:eastAsiaTheme="minorHAnsi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2642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642"/>
    <w:rPr>
      <w:rFonts w:ascii="Tahoma" w:hAnsi="Tahoma" w:cs="Times New Roman"/>
      <w:color w:val="767171" w:themeColor="background2" w:themeShade="8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2642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642"/>
    <w:rPr>
      <w:rFonts w:ascii="Tahoma" w:hAnsi="Tahoma" w:cs="Times New Roman"/>
      <w:color w:val="767171" w:themeColor="background2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0056E"/>
    <w:rPr>
      <w:rFonts w:ascii="Tahoma" w:eastAsiaTheme="majorEastAsia" w:hAnsi="Tahoma" w:cstheme="majorBidi"/>
      <w:color w:val="2E74B5" w:themeColor="accent5" w:themeShade="BF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1aku/VBu/1MTq0mh5Kv1X2PXw==">AMUW2mW1EqwUk9+Iys4pTvRZYn8BbzTnHz2V2xvbIrPiPOS5SAynLfpwhtde7c4YnmtFeAF1IHfLz/cRWtQ5SC2jrVFHyqhym+fgPGhY030UAWhuyww2sy79jLNjEKY1DOuWJb8cqyXP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3060</Words>
  <Characters>16835</Characters>
  <Application>Microsoft Office Word</Application>
  <DocSecurity>0</DocSecurity>
  <Lines>140</Lines>
  <Paragraphs>39</Paragraphs>
  <ScaleCrop>false</ScaleCrop>
  <Company/>
  <LinksUpToDate>false</LinksUpToDate>
  <CharactersWithSpaces>19856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KTF</dc:creator>
  <cp:lastModifiedBy>Milena Pereira Romero</cp:lastModifiedBy>
  <cp:revision>2</cp:revision>
  <dcterms:created xsi:type="dcterms:W3CDTF">2022-07-28T19:36:00Z</dcterms:created>
  <dcterms:modified xsi:type="dcterms:W3CDTF">2022-09-01T21:53:00Z</dcterms:modified>
</cp:coreProperties>
</file>