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08" w:rsidRDefault="0071410C">
      <w:pPr>
        <w:pBdr>
          <w:top w:val="nil"/>
          <w:left w:val="nil"/>
          <w:bottom w:val="nil"/>
          <w:right w:val="nil"/>
          <w:between w:val="nil"/>
        </w:pBdr>
        <w:ind w:left="48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>
            <wp:extent cx="1300125" cy="11811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3208" w:rsidRDefault="00ED320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D3208" w:rsidRPr="00B74188" w:rsidRDefault="0071410C">
      <w:pPr>
        <w:spacing w:before="99"/>
        <w:ind w:left="1168" w:right="1181"/>
        <w:jc w:val="center"/>
        <w:rPr>
          <w:rFonts w:ascii="Calibri" w:hAnsi="Calibri"/>
          <w:sz w:val="30"/>
          <w:szCs w:val="30"/>
        </w:rPr>
      </w:pPr>
      <w:r w:rsidRPr="00B74188">
        <w:rPr>
          <w:rFonts w:ascii="Calibri" w:hAnsi="Calibri"/>
          <w:color w:val="006EB7"/>
          <w:sz w:val="30"/>
          <w:szCs w:val="30"/>
        </w:rPr>
        <w:t>ANEXO 15</w:t>
      </w:r>
    </w:p>
    <w:p w:rsidR="00ED3208" w:rsidRPr="00B74188" w:rsidRDefault="0071410C">
      <w:pPr>
        <w:pStyle w:val="Puesto"/>
        <w:spacing w:line="218" w:lineRule="auto"/>
        <w:ind w:firstLine="1168"/>
        <w:rPr>
          <w:rFonts w:ascii="Calibri" w:hAnsi="Calibri"/>
          <w:sz w:val="30"/>
          <w:szCs w:val="30"/>
        </w:rPr>
      </w:pPr>
      <w:bookmarkStart w:id="0" w:name="_heading=h.gjdgxs" w:colFirst="0" w:colLast="0"/>
      <w:bookmarkEnd w:id="0"/>
      <w:r w:rsidRPr="00B74188">
        <w:rPr>
          <w:rFonts w:ascii="Calibri" w:hAnsi="Calibri"/>
          <w:color w:val="006EB7"/>
          <w:sz w:val="30"/>
          <w:szCs w:val="30"/>
        </w:rPr>
        <w:t>Criterios Técnicos del Programa de Atención y Control en Infecciones de Transmisión Sexual (ITS) -Nivel Secundario</w:t>
      </w:r>
    </w:p>
    <w:p w:rsidR="00ED3208" w:rsidRPr="00B74188" w:rsidRDefault="0071410C">
      <w:pPr>
        <w:pBdr>
          <w:top w:val="nil"/>
          <w:left w:val="nil"/>
          <w:bottom w:val="nil"/>
          <w:right w:val="nil"/>
          <w:between w:val="nil"/>
        </w:pBdr>
        <w:spacing w:before="264" w:line="252" w:lineRule="auto"/>
        <w:ind w:left="1008" w:right="1016"/>
        <w:jc w:val="both"/>
        <w:rPr>
          <w:rFonts w:asciiTheme="minorHAnsi" w:eastAsia="Arial" w:hAnsiTheme="minorHAnsi" w:cs="Arial"/>
          <w:color w:val="000000"/>
        </w:rPr>
      </w:pPr>
      <w:r w:rsidRPr="00B74188">
        <w:rPr>
          <w:rFonts w:asciiTheme="minorHAnsi" w:eastAsia="Arial" w:hAnsiTheme="minorHAnsi" w:cs="Arial"/>
          <w:color w:val="565655"/>
        </w:rPr>
        <w:t>La atención de infecciones de transmisión sexual es una prioridad en salud pública. Por ello, la programación de las atenciones médicas y no médicas del nivel de especialidades, debe considerar el contexto en el cual se brindan estas atenciones, incluido e</w:t>
      </w:r>
      <w:r w:rsidRPr="00B74188">
        <w:rPr>
          <w:rFonts w:asciiTheme="minorHAnsi" w:eastAsia="Arial" w:hAnsiTheme="minorHAnsi" w:cs="Arial"/>
          <w:color w:val="565655"/>
        </w:rPr>
        <w:t xml:space="preserve">l control de personas que ejercen el comercio o trabajo sexual. Esto implica considerar no sólo el recurso humano y la cantidad de horas disponibles en agenda, sino también los recursos de infraestructura disponibles, tanto en contextos de normalidad como </w:t>
      </w:r>
      <w:r w:rsidRPr="00B74188">
        <w:rPr>
          <w:rFonts w:asciiTheme="minorHAnsi" w:eastAsia="Arial" w:hAnsiTheme="minorHAnsi" w:cs="Arial"/>
          <w:color w:val="565655"/>
        </w:rPr>
        <w:t>en contextos de emergencia. Para ello se describen los rendimientos en rango  para que cada establecimiento donde esté  implementada  la  atención de ITS, programe  sus actividades.</w:t>
      </w:r>
    </w:p>
    <w:p w:rsidR="00ED3208" w:rsidRPr="00B74188" w:rsidRDefault="0071410C">
      <w:pPr>
        <w:pBdr>
          <w:top w:val="nil"/>
          <w:left w:val="nil"/>
          <w:bottom w:val="nil"/>
          <w:right w:val="nil"/>
          <w:between w:val="nil"/>
        </w:pBdr>
        <w:spacing w:before="181" w:line="249" w:lineRule="auto"/>
        <w:ind w:left="1008" w:right="1020"/>
        <w:jc w:val="both"/>
        <w:rPr>
          <w:rFonts w:asciiTheme="minorHAnsi" w:eastAsia="Arial" w:hAnsiTheme="minorHAnsi" w:cs="Arial"/>
          <w:color w:val="000000"/>
        </w:rPr>
      </w:pPr>
      <w:r w:rsidRPr="00B74188">
        <w:rPr>
          <w:rFonts w:asciiTheme="minorHAnsi" w:eastAsia="Arial" w:hAnsiTheme="minorHAnsi" w:cs="Arial"/>
          <w:color w:val="565655"/>
        </w:rPr>
        <w:t>Esta programación incluye las actividades de consultas y controles médicos y de otros profesionales de la Unidad de Atención y Control de Salud Sexual (UNACESS) a fin de organizar la cartera de servicios de la unidad.</w:t>
      </w:r>
    </w:p>
    <w:p w:rsidR="00ED3208" w:rsidRPr="00B74188" w:rsidRDefault="0071410C">
      <w:pPr>
        <w:pBdr>
          <w:top w:val="nil"/>
          <w:left w:val="nil"/>
          <w:bottom w:val="nil"/>
          <w:right w:val="nil"/>
          <w:between w:val="nil"/>
        </w:pBdr>
        <w:spacing w:before="176" w:line="252" w:lineRule="auto"/>
        <w:ind w:left="1008" w:right="1022"/>
        <w:jc w:val="both"/>
        <w:rPr>
          <w:rFonts w:asciiTheme="minorHAnsi" w:eastAsia="Arial" w:hAnsiTheme="minorHAnsi" w:cs="Arial"/>
          <w:color w:val="000000"/>
        </w:rPr>
      </w:pPr>
      <w:r w:rsidRPr="00B74188">
        <w:rPr>
          <w:rFonts w:asciiTheme="minorHAnsi" w:eastAsia="Arial" w:hAnsiTheme="minorHAnsi" w:cs="Arial"/>
          <w:color w:val="565655"/>
        </w:rPr>
        <w:t>A continuación, se detallan las activi</w:t>
      </w:r>
      <w:r w:rsidRPr="00B74188">
        <w:rPr>
          <w:rFonts w:asciiTheme="minorHAnsi" w:eastAsia="Arial" w:hAnsiTheme="minorHAnsi" w:cs="Arial"/>
          <w:color w:val="565655"/>
        </w:rPr>
        <w:t>dades propias de la Unidad, su definición y su rendimiento esperado, en un   rango mínimo y máximo, además de las prestaciones estrictamente presenciales de las remotas.</w:t>
      </w:r>
    </w:p>
    <w:p w:rsidR="00ED3208" w:rsidRPr="00B74188" w:rsidRDefault="0071410C">
      <w:pPr>
        <w:pBdr>
          <w:top w:val="nil"/>
          <w:left w:val="nil"/>
          <w:bottom w:val="nil"/>
          <w:right w:val="nil"/>
          <w:between w:val="nil"/>
        </w:pBdr>
        <w:spacing w:before="172"/>
        <w:ind w:left="1008"/>
        <w:jc w:val="both"/>
        <w:rPr>
          <w:rFonts w:asciiTheme="minorHAnsi" w:eastAsia="Arial" w:hAnsiTheme="minorHAnsi" w:cs="Arial"/>
          <w:color w:val="000000"/>
        </w:rPr>
      </w:pPr>
      <w:r w:rsidRPr="00B74188">
        <w:rPr>
          <w:rFonts w:asciiTheme="minorHAnsi" w:eastAsia="Arial" w:hAnsiTheme="minorHAnsi" w:cs="Arial"/>
          <w:color w:val="565655"/>
        </w:rPr>
        <w:t>Las prestaciones estrictamente presenciales son las siguientes:</w:t>
      </w:r>
    </w:p>
    <w:p w:rsidR="00ED3208" w:rsidRPr="00B74188" w:rsidRDefault="00ED320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Arial" w:hAnsiTheme="minorHAnsi" w:cs="Arial"/>
          <w:color w:val="000000"/>
        </w:rPr>
      </w:pPr>
    </w:p>
    <w:tbl>
      <w:tblPr>
        <w:tblStyle w:val="a"/>
        <w:tblW w:w="1059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984"/>
        <w:gridCol w:w="4962"/>
        <w:gridCol w:w="2126"/>
      </w:tblGrid>
      <w:tr w:rsidR="00ED3208" w:rsidRPr="00B74188">
        <w:trPr>
          <w:trHeight w:val="381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2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PROFESIONAL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2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ACTIVIDAD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2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DEFINICIÓN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1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RENDIMIENTO</w:t>
            </w:r>
          </w:p>
        </w:tc>
      </w:tr>
      <w:tr w:rsidR="00ED3208" w:rsidRPr="00B74188">
        <w:trPr>
          <w:trHeight w:val="94"/>
        </w:trPr>
        <w:tc>
          <w:tcPr>
            <w:tcW w:w="1524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Médico/a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18" w:lineRule="auto"/>
              <w:ind w:left="117" w:right="2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Consulta Especializada de Morbilidad en ITS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18" w:lineRule="auto"/>
              <w:ind w:left="117" w:right="29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Actividad realizada por Médico especialista destinada a consultantes espontáneos y derivados de otras unidades destinada al diagnóstico y tratamiento de ITS.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2-3  pacientes / hora.</w:t>
            </w:r>
          </w:p>
        </w:tc>
      </w:tr>
      <w:tr w:rsidR="00ED3208" w:rsidRPr="00B74188">
        <w:trPr>
          <w:trHeight w:val="58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Médico/a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7" w:right="2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Control Especializado de Morbilidad en ITS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7" w:right="32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 la atención realizada por médico a consultantes que ya han tenido la primera consulta especializada de morbilidad de ITS.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3 – 4  pacientes / hora.</w:t>
            </w:r>
          </w:p>
        </w:tc>
      </w:tr>
      <w:tr w:rsidR="00ED3208" w:rsidRPr="00B74188">
        <w:trPr>
          <w:trHeight w:val="365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59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 Enfermera/o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7" w:right="2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Consulta de Infección de Transmisión Sexual (ITS) por profesional no médico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7" w:right="29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 la atención que se otorga a un o una consultante que acude motivado por una inquietud relacionada con la exposición al riesgo de una ITS. Es previa a la consulta Especializada d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 Morbilidad en ITS Incluye revisión de antecedentes y solicitud de exámenes de laboratorio.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6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Consulta nueva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2-3   por hora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16" w:lineRule="auto"/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Consulta repetida:   3 – 4   hora</w:t>
            </w:r>
          </w:p>
        </w:tc>
      </w:tr>
      <w:tr w:rsidR="00ED3208" w:rsidRPr="00B74188">
        <w:trPr>
          <w:trHeight w:val="58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ind w:left="117" w:right="34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Control de Salud a personas que ejercen el trabajo sexual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7" w:right="13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Es el control de salud, biopsicosocial, voluntario y periódico, que se otorga a personas que ejercen el trabajo sexual, dirigido hacia aspectos relacionados con la salud sexual y reproductiva y la mantención de condiciones saludables, con especial énfasis 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en la detección, tratamiento precoz de las ITS, así como en su prevención.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76" w:lineRule="auto"/>
              <w:ind w:left="116" w:right="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Ingreso: 1-2 /hora. Controles: 2-3/hora.</w:t>
            </w:r>
          </w:p>
        </w:tc>
      </w:tr>
      <w:tr w:rsidR="00ED3208" w:rsidRPr="00B74188">
        <w:trPr>
          <w:trHeight w:val="175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Médico/a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6" w:right="6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Atención a Víctimas de Violencia Sexual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26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La atención otorgada a personas que han sido víctimas de violencia sexual debe continuar a la primera atención recibida en los centros de urgencia.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18" w:lineRule="auto"/>
              <w:ind w:left="116" w:right="131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Incluye indicación de profilaxis inmunológica y medicamentosa, evaluación de exámenes, indicación de vacunac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ión para Virus hepatitis B y Virus papiloma Humano (si corresponde). 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1-2 pacientes/ hora.</w:t>
            </w:r>
          </w:p>
        </w:tc>
      </w:tr>
      <w:tr w:rsidR="00ED3208" w:rsidRPr="00B74188">
        <w:trPr>
          <w:trHeight w:val="58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. Enfermera (o)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Atención a Víctimas de Violencia Sexual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26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La atención otorgada a personas que han sido víctimas de violencia sexual debe continuar a la primera atención recibida en los centros de urgencia.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260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Incluye acompañamiento y seguimiento a la administración de profilaxis inmunológica y medicamentosa, cumplim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iento esquema de vacunación y solicitud y/o evaluación de exámenes.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1-2 pacientes / hora.</w:t>
            </w:r>
          </w:p>
        </w:tc>
      </w:tr>
      <w:tr w:rsidR="00ED3208" w:rsidRPr="00B74188">
        <w:trPr>
          <w:trHeight w:val="699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2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lastRenderedPageBreak/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 Enfermera/o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16" w:right="27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Consejería para la Gestión de Riesgo de ITS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33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 la actividad destinada a evaluar y modificar comportamientos de riesgo. Es un proceso breve, focalizado y dirigido, que se centra en las necesidades de la o el consultante, y en el que se facilita que la persona tome sus propias decisiones, incorporando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la entrega de información y la entrega de condones.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1-3      pacientes / hora.</w:t>
            </w:r>
          </w:p>
        </w:tc>
      </w:tr>
      <w:tr w:rsidR="00ED3208" w:rsidRPr="00B74188">
        <w:trPr>
          <w:trHeight w:val="191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2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 Enfermera/o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16" w:lineRule="auto"/>
              <w:ind w:left="116" w:right="621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Manejo de la(s) Pareja(s)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16" w:right="6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/ Contacto(s) Sexual(es)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8" w:lineRule="auto"/>
              <w:ind w:left="116" w:right="39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La atención de los contactos sexuales tiene el propósito de romper la cadena de transmisión de las ITS. Esta actividad incluye la citación y búsqueda de contactos sexuales, la solicitud de exámenes y la administración de tratamientos por ser contacto de ca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so índice.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2 – 3    pacientes / hora.</w:t>
            </w:r>
          </w:p>
        </w:tc>
      </w:tr>
      <w:tr w:rsidR="00ED3208" w:rsidRPr="00B74188">
        <w:trPr>
          <w:trHeight w:val="148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6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Procedimiento asociado a Métodos de regulación de la fertilidad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18" w:lineRule="auto"/>
              <w:ind w:left="116" w:right="55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Atención otorgada por Matrona/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a las usuarias en control de Salud Sexual (trabajadoras sexuales y usuarias en control por morbilidad).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1-2 pacientes / hora</w:t>
            </w:r>
          </w:p>
        </w:tc>
      </w:tr>
      <w:tr w:rsidR="00ED3208" w:rsidRPr="00B74188">
        <w:trPr>
          <w:trHeight w:val="444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Ingreso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13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Actividad realizada por Médico especialista destinada a realizar anamnesis, evaluar exámenes solicitados en ingreso de matrona/ enfermera y confirmar si usuario cumple con criterios para iniciar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.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18" w:lineRule="auto"/>
              <w:ind w:left="116" w:right="29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Prescribe el fármaco, indica vacunación si corresponde.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1-2 pacientes / hora</w:t>
            </w:r>
          </w:p>
        </w:tc>
      </w:tr>
      <w:tr w:rsidR="00ED3208" w:rsidRPr="00B74188">
        <w:trPr>
          <w:trHeight w:val="58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Control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29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Actividad destinada a evaluar signos y síntomas de infección aguda, efectos adversos a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, adherencia y solicitar exámenes de control. Evaluar criterios de continuidad o interrupción de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1-3 pacientes / hora</w:t>
            </w:r>
          </w:p>
        </w:tc>
      </w:tr>
      <w:tr w:rsidR="00ED3208" w:rsidRPr="00B74188">
        <w:trPr>
          <w:trHeight w:val="58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28" w:lineRule="auto"/>
              <w:ind w:left="117" w:right="262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 Enfermera/o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Ingreso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8" w:lineRule="auto"/>
              <w:ind w:left="116" w:right="13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Evalúa criterios de inclusión, explica el contenido del Informativo sobre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el cual debe ser firmado por el usuario. Completo formulario de evaluación para ingreso a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.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18" w:lineRule="auto"/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Entrega órdenes de exámenes basales para inicio de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, educa, refuerza autocuid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ado para ITS  y realiza educación de TRVIH.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1-2 pacientes / hora</w:t>
            </w:r>
          </w:p>
        </w:tc>
      </w:tr>
      <w:tr w:rsidR="00ED3208" w:rsidRPr="00B74188">
        <w:trPr>
          <w:trHeight w:val="856"/>
        </w:trPr>
        <w:tc>
          <w:tcPr>
            <w:tcW w:w="152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25" w:lineRule="auto"/>
              <w:ind w:left="117" w:right="318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Enfermera/o</w:t>
            </w:r>
          </w:p>
        </w:tc>
        <w:tc>
          <w:tcPr>
            <w:tcW w:w="1984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Control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6" w:right="13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Realizar control con TRVIH, evaluar y reforzar adherencia, evaluar exposición al riesgo de VIH, reforzar autocuidado para ITS, evalúa completitud de esquema de vacunación si corresponde.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1-3 pacientes / hora</w:t>
            </w:r>
          </w:p>
        </w:tc>
      </w:tr>
    </w:tbl>
    <w:p w:rsidR="00ED3208" w:rsidRPr="00B74188" w:rsidRDefault="00ED3208">
      <w:pPr>
        <w:rPr>
          <w:rFonts w:asciiTheme="minorHAnsi" w:eastAsia="Arial" w:hAnsiTheme="minorHAnsi" w:cs="Arial"/>
        </w:rPr>
      </w:pPr>
    </w:p>
    <w:p w:rsidR="00ED3208" w:rsidRPr="00B74188" w:rsidRDefault="0071410C">
      <w:pPr>
        <w:spacing w:before="101"/>
        <w:ind w:left="1008"/>
        <w:rPr>
          <w:rFonts w:asciiTheme="minorHAnsi" w:eastAsia="Arial" w:hAnsiTheme="minorHAnsi" w:cs="Arial"/>
          <w:b/>
        </w:rPr>
      </w:pPr>
      <w:r w:rsidRPr="00B74188">
        <w:rPr>
          <w:rFonts w:asciiTheme="minorHAnsi" w:eastAsia="Arial" w:hAnsiTheme="minorHAnsi" w:cs="Arial"/>
          <w:b/>
          <w:color w:val="565655"/>
        </w:rPr>
        <w:t>Las prestaciones que pueden realizarse de forma remota son las siguientes:</w:t>
      </w:r>
    </w:p>
    <w:tbl>
      <w:tblPr>
        <w:tblStyle w:val="a0"/>
        <w:tblW w:w="1059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965"/>
        <w:gridCol w:w="4962"/>
        <w:gridCol w:w="2126"/>
      </w:tblGrid>
      <w:tr w:rsidR="00ED3208" w:rsidRPr="00B74188">
        <w:trPr>
          <w:trHeight w:val="38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2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PROFESIONAL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2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ACTIVIDAD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3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DEFINICIÓN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1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RENDIMIENTO</w:t>
            </w:r>
          </w:p>
        </w:tc>
      </w:tr>
      <w:tr w:rsidR="00ED3208" w:rsidRPr="00B74188">
        <w:trPr>
          <w:trHeight w:val="157"/>
        </w:trPr>
        <w:tc>
          <w:tcPr>
            <w:tcW w:w="1543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Médico/a</w:t>
            </w:r>
          </w:p>
        </w:tc>
        <w:tc>
          <w:tcPr>
            <w:tcW w:w="1965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18" w:lineRule="auto"/>
              <w:ind w:left="117" w:right="5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Consulta Especializada de Morbilidad en ITS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18" w:lineRule="auto"/>
              <w:ind w:left="118" w:right="26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Actividad realizada por Médico especialista a través de telemedicina, orientada al diagnóstico, tratamiento y/o derivación de ITS.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3-4 pacientes / hora.</w:t>
            </w:r>
          </w:p>
        </w:tc>
      </w:tr>
      <w:tr w:rsidR="00ED3208" w:rsidRPr="00B74188">
        <w:trPr>
          <w:trHeight w:val="242"/>
        </w:trPr>
        <w:tc>
          <w:tcPr>
            <w:tcW w:w="1543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Médico/a</w:t>
            </w:r>
          </w:p>
        </w:tc>
        <w:tc>
          <w:tcPr>
            <w:tcW w:w="1965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7" w:right="5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Control Especializado de Morbilidad en ITS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8" w:right="19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 la atención realizada por médico a consultantes que ya han tenido la primera consulta especializada de morbilidad de ITS dirigida a la evaluación del tratamiento, seguimiento y educación.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3-4 pacientes / hora.</w:t>
            </w:r>
          </w:p>
        </w:tc>
      </w:tr>
      <w:tr w:rsidR="00ED3208" w:rsidRPr="00B74188">
        <w:trPr>
          <w:trHeight w:val="113"/>
        </w:trPr>
        <w:tc>
          <w:tcPr>
            <w:tcW w:w="1543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28" w:lineRule="auto"/>
              <w:ind w:left="117" w:right="259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 Enfermera/o</w:t>
            </w:r>
          </w:p>
        </w:tc>
        <w:tc>
          <w:tcPr>
            <w:tcW w:w="1965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7" w:right="5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Control de Infección de Transmisión Sexual (ITS) por profesional no médico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8" w:right="19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Es la atención que se otorga a un o una consultante que ya ha tenido la primera consulta especializada de morbilidad de ITS, dirigida a la evaluación del tratamiento, seguimiento y 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educación.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3-4 pacientes / hora.</w:t>
            </w:r>
          </w:p>
        </w:tc>
      </w:tr>
      <w:tr w:rsidR="00ED3208" w:rsidRPr="00B74188">
        <w:trPr>
          <w:trHeight w:val="58"/>
        </w:trPr>
        <w:tc>
          <w:tcPr>
            <w:tcW w:w="1543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</w:p>
        </w:tc>
        <w:tc>
          <w:tcPr>
            <w:tcW w:w="1965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7" w:right="-1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Atención a Víctimas de Violencia Sexual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8" w:right="221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La atención otorgada a personas que han sido víctimas de violencia sexual debe continuar a la primera atención recibida en los centros de urgencia.</w:t>
            </w:r>
          </w:p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18" w:lineRule="auto"/>
              <w:ind w:left="11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Incluye acompañamiento y seguimiento a la administración de profilaxis inmunológica y medicamentosa, cumplimiento de la vacunación, asistencia a terapia psicológica y evaluación de exámenes en  casos de no requerir evaluación presencial.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2-3 pacientes / hora.</w:t>
            </w:r>
          </w:p>
        </w:tc>
      </w:tr>
      <w:tr w:rsidR="00ED3208" w:rsidRPr="00B74188">
        <w:trPr>
          <w:trHeight w:val="231"/>
        </w:trPr>
        <w:tc>
          <w:tcPr>
            <w:tcW w:w="1543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59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Matrona/</w:t>
            </w:r>
            <w:proofErr w:type="spellStart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ón</w:t>
            </w:r>
            <w:proofErr w:type="spellEnd"/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 xml:space="preserve"> o Enfermera/o</w:t>
            </w:r>
          </w:p>
        </w:tc>
        <w:tc>
          <w:tcPr>
            <w:tcW w:w="1965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17" w:right="291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Consejería para la Gestión de Riesgo de ITS</w:t>
            </w:r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8" w:right="29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 la actividad destinada a evaluar y modificar comportamientos de riesgo. Es un proceso breve, focalizado y dirigido, que se centra en las necesidades de la o el consultante, y en el que se facilita que la persona tome sus propias decisiones, incorporando</w:t>
            </w: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la entrega de información y la derivación presencial a exámenes.</w:t>
            </w:r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2-3 pacientes / hora.</w:t>
            </w:r>
          </w:p>
        </w:tc>
      </w:tr>
      <w:tr w:rsidR="00ED3208" w:rsidRPr="00B74188">
        <w:trPr>
          <w:trHeight w:val="58"/>
        </w:trPr>
        <w:tc>
          <w:tcPr>
            <w:tcW w:w="1543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b/>
                <w:color w:val="565655"/>
                <w:sz w:val="18"/>
                <w:szCs w:val="18"/>
              </w:rPr>
              <w:t>Médico</w:t>
            </w:r>
          </w:p>
        </w:tc>
        <w:tc>
          <w:tcPr>
            <w:tcW w:w="1965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Control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4962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8" w:right="26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Actividad destinada a evaluar signos y síntomas de infección aguda, efectos adversos a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, adherencia al tratamiento, evaluar exámenes para criterios de continuidad o interrupción de </w:t>
            </w:r>
            <w:proofErr w:type="spellStart"/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</w:t>
            </w:r>
            <w:proofErr w:type="spellEnd"/>
          </w:p>
        </w:tc>
        <w:tc>
          <w:tcPr>
            <w:tcW w:w="2126" w:type="dxa"/>
            <w:vAlign w:val="center"/>
          </w:tcPr>
          <w:p w:rsidR="00ED3208" w:rsidRPr="00B74188" w:rsidRDefault="0071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B74188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3-4 pacientes / hora</w:t>
            </w:r>
            <w:bookmarkStart w:id="1" w:name="_GoBack"/>
            <w:bookmarkEnd w:id="1"/>
          </w:p>
        </w:tc>
      </w:tr>
    </w:tbl>
    <w:p w:rsidR="00ED3208" w:rsidRPr="00B74188" w:rsidRDefault="00ED3208">
      <w:pPr>
        <w:rPr>
          <w:rFonts w:asciiTheme="minorHAnsi" w:hAnsiTheme="minorHAnsi"/>
        </w:rPr>
      </w:pPr>
    </w:p>
    <w:sectPr w:rsidR="00ED3208" w:rsidRPr="00B74188">
      <w:footerReference w:type="default" r:id="rId8"/>
      <w:pgSz w:w="12240" w:h="15840"/>
      <w:pgMar w:top="520" w:right="220" w:bottom="180" w:left="2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0C" w:rsidRDefault="0071410C">
      <w:r>
        <w:separator/>
      </w:r>
    </w:p>
  </w:endnote>
  <w:endnote w:type="continuationSeparator" w:id="0">
    <w:p w:rsidR="0071410C" w:rsidRDefault="0071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08" w:rsidRDefault="007141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  <w:lang w:val="es-CL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9931400</wp:posOffset>
              </wp:positionV>
              <wp:extent cx="1292860" cy="11938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860" cy="119380"/>
                        <a:chOff x="4699570" y="3719675"/>
                        <a:chExt cx="1292860" cy="11938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699570" y="3719675"/>
                          <a:ext cx="1292860" cy="119380"/>
                          <a:chOff x="5102" y="15652"/>
                          <a:chExt cx="2036" cy="188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5102" y="15653"/>
                            <a:ext cx="20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D3208" w:rsidRDefault="00ED320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5102" y="15652"/>
                            <a:ext cx="833" cy="188"/>
                          </a:xfrm>
                          <a:prstGeom prst="rect">
                            <a:avLst/>
                          </a:prstGeom>
                          <a:solidFill>
                            <a:srgbClr val="0062A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D3208" w:rsidRDefault="00ED320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5935" y="15652"/>
                            <a:ext cx="1203" cy="188"/>
                          </a:xfrm>
                          <a:prstGeom prst="rect">
                            <a:avLst/>
                          </a:pr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D3208" w:rsidRDefault="00ED320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9931400</wp:posOffset>
              </wp:positionV>
              <wp:extent cx="1292860" cy="11938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2860" cy="119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0C" w:rsidRDefault="0071410C">
      <w:r>
        <w:separator/>
      </w:r>
    </w:p>
  </w:footnote>
  <w:footnote w:type="continuationSeparator" w:id="0">
    <w:p w:rsidR="0071410C" w:rsidRDefault="0071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08"/>
    <w:rsid w:val="0071410C"/>
    <w:rsid w:val="00B74188"/>
    <w:rsid w:val="00E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658E04-D3A3-484E-9FC3-FC25B4FB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spacing w:before="54"/>
      <w:ind w:left="1168" w:right="1183"/>
      <w:jc w:val="center"/>
    </w:pPr>
    <w:rPr>
      <w:b/>
      <w:bCs/>
      <w:sz w:val="38"/>
      <w:szCs w:val="3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2830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0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020"/>
    <w:rPr>
      <w:rFonts w:ascii="Cambria" w:eastAsia="Cambria" w:hAnsi="Cambria" w:cs="Cambr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0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020"/>
    <w:rPr>
      <w:rFonts w:ascii="Cambria" w:eastAsia="Cambria" w:hAnsi="Cambria" w:cs="Cambri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0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020"/>
    <w:rPr>
      <w:rFonts w:ascii="Segoe UI" w:eastAsia="Cambria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2A34ED"/>
    <w:pPr>
      <w:widowControl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2gzwbDwljD9KRvPiG6g6EDzEeQ==">AMUW2mV3xt70B8AcHh/oE5pq9v+vXp2I9HrxRQyzNxXpbN+2BqYf1Yyy78WQEIgXaJvXV+oILUZJ5oTGfX8mBNaYghC3GqFrgNFWPfw7/oMVGK7D6ylHKagONTgtJKX51ltMAAjXrbgp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Cecilia Muñoz Abarca</dc:creator>
  <cp:lastModifiedBy>Milena Pereira Romero</cp:lastModifiedBy>
  <cp:revision>3</cp:revision>
  <dcterms:created xsi:type="dcterms:W3CDTF">2022-08-22T20:46:00Z</dcterms:created>
  <dcterms:modified xsi:type="dcterms:W3CDTF">2022-09-01T21:57:00Z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