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438" w:rsidRPr="00195EEB" w:rsidRDefault="00195EEB">
      <w:pPr>
        <w:pBdr>
          <w:top w:val="nil"/>
          <w:left w:val="nil"/>
          <w:bottom w:val="nil"/>
          <w:right w:val="nil"/>
          <w:between w:val="nil"/>
        </w:pBdr>
        <w:spacing w:before="0" w:line="240" w:lineRule="auto"/>
        <w:jc w:val="center"/>
        <w:rPr>
          <w:rFonts w:asciiTheme="minorHAnsi" w:eastAsia="Arial" w:hAnsiTheme="minorHAnsi" w:cs="Arial"/>
          <w:b/>
          <w:color w:val="0070C0"/>
          <w:sz w:val="30"/>
          <w:szCs w:val="30"/>
        </w:rPr>
      </w:pPr>
      <w:r w:rsidRPr="00195EEB">
        <w:rPr>
          <w:rFonts w:asciiTheme="minorHAnsi" w:eastAsia="Arial" w:hAnsiTheme="minorHAnsi" w:cs="Arial"/>
          <w:b/>
          <w:color w:val="0070C0"/>
          <w:sz w:val="30"/>
          <w:szCs w:val="30"/>
        </w:rPr>
        <w:t>ANEXO</w:t>
      </w:r>
      <w:r w:rsidRPr="00195EEB">
        <w:rPr>
          <w:rFonts w:asciiTheme="minorHAnsi" w:eastAsia="Arial" w:hAnsiTheme="minorHAnsi" w:cs="Arial"/>
          <w:b/>
          <w:color w:val="0070C0"/>
          <w:sz w:val="30"/>
          <w:szCs w:val="30"/>
        </w:rPr>
        <w:t>17</w:t>
      </w:r>
    </w:p>
    <w:p w:rsidR="00855438" w:rsidRPr="00195EEB" w:rsidRDefault="00195EEB">
      <w:pPr>
        <w:pBdr>
          <w:top w:val="nil"/>
          <w:left w:val="nil"/>
          <w:bottom w:val="nil"/>
          <w:right w:val="nil"/>
          <w:between w:val="nil"/>
        </w:pBdr>
        <w:spacing w:before="0" w:line="240" w:lineRule="auto"/>
        <w:jc w:val="center"/>
        <w:rPr>
          <w:rFonts w:asciiTheme="minorHAnsi" w:eastAsia="Arial" w:hAnsiTheme="minorHAnsi" w:cs="Arial"/>
          <w:b/>
          <w:color w:val="0070C0"/>
          <w:sz w:val="30"/>
          <w:szCs w:val="30"/>
        </w:rPr>
      </w:pPr>
      <w:r w:rsidRPr="00195EEB">
        <w:rPr>
          <w:rFonts w:asciiTheme="minorHAnsi" w:eastAsia="Arial" w:hAnsiTheme="minorHAnsi" w:cs="Arial"/>
          <w:b/>
          <w:color w:val="0070C0"/>
          <w:sz w:val="30"/>
          <w:szCs w:val="30"/>
        </w:rPr>
        <w:t>CRITERIOS TÉCNICOS PARA EL PROCESO DE PROGRAMACIÓN DE PRESTACIONES DE ESTRATEGIA DE PROTECCIÓN DE NIÑAS, NIÑOS Y ADOLESCENTES</w:t>
      </w:r>
    </w:p>
    <w:p w:rsidR="00855438" w:rsidRPr="00195EEB" w:rsidRDefault="00855438">
      <w:pPr>
        <w:pBdr>
          <w:top w:val="nil"/>
          <w:left w:val="nil"/>
          <w:bottom w:val="nil"/>
          <w:right w:val="nil"/>
          <w:between w:val="nil"/>
        </w:pBdr>
        <w:spacing w:before="0" w:line="240" w:lineRule="auto"/>
        <w:jc w:val="center"/>
        <w:rPr>
          <w:rFonts w:asciiTheme="minorHAnsi" w:eastAsia="Arial" w:hAnsiTheme="minorHAnsi" w:cs="Arial"/>
          <w:color w:val="006FB7"/>
          <w:szCs w:val="22"/>
        </w:rPr>
      </w:pPr>
    </w:p>
    <w:p w:rsidR="00855438" w:rsidRPr="00195EEB" w:rsidRDefault="00195EEB">
      <w:pPr>
        <w:spacing w:before="0" w:line="240" w:lineRule="auto"/>
        <w:rPr>
          <w:rFonts w:asciiTheme="minorHAnsi" w:eastAsia="Arial" w:hAnsiTheme="minorHAnsi" w:cs="Arial"/>
        </w:rPr>
      </w:pPr>
      <w:r w:rsidRPr="00195EEB">
        <w:rPr>
          <w:rFonts w:asciiTheme="minorHAnsi" w:eastAsia="Arial" w:hAnsiTheme="minorHAnsi" w:cs="Arial"/>
        </w:rPr>
        <w:t xml:space="preserve">La definición de las prestaciones vinculadas a la atención de niñas, niños y adolescentes se constituye como una nueva incorporación y su enfoque es brindar una atención integral, interdisciplinaria, con enfoque de derecho e infancia para NNA que han sido </w:t>
      </w:r>
      <w:r w:rsidRPr="00195EEB">
        <w:rPr>
          <w:rFonts w:asciiTheme="minorHAnsi" w:eastAsia="Arial" w:hAnsiTheme="minorHAnsi" w:cs="Arial"/>
        </w:rPr>
        <w:t>víctimas o tenga riesgo potencial de serlo y que consulten en dispositivos de atención secundaria y terciaria.</w:t>
      </w:r>
    </w:p>
    <w:p w:rsidR="00855438" w:rsidRPr="00195EEB" w:rsidRDefault="00855438">
      <w:pPr>
        <w:spacing w:before="0" w:line="240" w:lineRule="auto"/>
        <w:rPr>
          <w:rFonts w:asciiTheme="minorHAnsi" w:eastAsia="Arial" w:hAnsiTheme="minorHAnsi" w:cs="Arial"/>
        </w:rPr>
      </w:pPr>
    </w:p>
    <w:p w:rsidR="00855438" w:rsidRPr="00195EEB" w:rsidRDefault="00195EEB">
      <w:pPr>
        <w:spacing w:before="0" w:line="240" w:lineRule="auto"/>
        <w:rPr>
          <w:rFonts w:asciiTheme="minorHAnsi" w:eastAsia="Arial" w:hAnsiTheme="minorHAnsi" w:cs="Arial"/>
        </w:rPr>
      </w:pPr>
      <w:r w:rsidRPr="00195EEB">
        <w:rPr>
          <w:rFonts w:asciiTheme="minorHAnsi" w:eastAsia="Arial" w:hAnsiTheme="minorHAnsi" w:cs="Arial"/>
        </w:rPr>
        <w:t>Su pilar será el interés superior de la niña/niño, el enfoque de derecho e infancia, propiciar la continuidad de cuidados, con una mirada enfoca</w:t>
      </w:r>
      <w:r w:rsidRPr="00195EEB">
        <w:rPr>
          <w:rFonts w:asciiTheme="minorHAnsi" w:eastAsia="Arial" w:hAnsiTheme="minorHAnsi" w:cs="Arial"/>
        </w:rPr>
        <w:t xml:space="preserve">da en la protección, entendiendo este último rol como instituciones y personas como garantes de derecho. </w:t>
      </w:r>
    </w:p>
    <w:p w:rsidR="00855438" w:rsidRDefault="00855438">
      <w:pPr>
        <w:spacing w:before="0" w:line="240" w:lineRule="auto"/>
        <w:rPr>
          <w:rFonts w:ascii="Arial" w:eastAsia="Arial" w:hAnsi="Arial" w:cs="Arial"/>
        </w:rPr>
      </w:pPr>
    </w:p>
    <w:p w:rsidR="00855438" w:rsidRDefault="00195EEB">
      <w:pPr>
        <w:spacing w:before="0" w:line="240" w:lineRule="auto"/>
        <w:rPr>
          <w:rFonts w:ascii="Arial" w:eastAsia="Arial" w:hAnsi="Arial" w:cs="Arial"/>
        </w:rPr>
      </w:pPr>
      <w:r>
        <w:rPr>
          <w:noProof/>
        </w:rPr>
        <w:drawing>
          <wp:anchor distT="0" distB="0" distL="0" distR="0" simplePos="0" relativeHeight="251658240" behindDoc="1" locked="0" layoutInCell="1" hidden="0" allowOverlap="1">
            <wp:simplePos x="0" y="0"/>
            <wp:positionH relativeFrom="column">
              <wp:posOffset>3810</wp:posOffset>
            </wp:positionH>
            <wp:positionV relativeFrom="paragraph">
              <wp:posOffset>7620</wp:posOffset>
            </wp:positionV>
            <wp:extent cx="6400800" cy="31146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400800" cy="3114675"/>
                    </a:xfrm>
                    <a:prstGeom prst="rect">
                      <a:avLst/>
                    </a:prstGeom>
                    <a:ln/>
                  </pic:spPr>
                </pic:pic>
              </a:graphicData>
            </a:graphic>
          </wp:anchor>
        </w:drawing>
      </w:r>
    </w:p>
    <w:p w:rsidR="00855438" w:rsidRDefault="00855438">
      <w:pPr>
        <w:spacing w:before="0" w:line="240" w:lineRule="auto"/>
        <w:rPr>
          <w:rFonts w:ascii="Arial" w:eastAsia="Arial" w:hAnsi="Arial" w:cs="Arial"/>
        </w:rPr>
      </w:pPr>
    </w:p>
    <w:p w:rsidR="00855438" w:rsidRDefault="00855438">
      <w:pPr>
        <w:spacing w:before="0" w:line="240" w:lineRule="auto"/>
        <w:rPr>
          <w:rFonts w:ascii="Arial" w:eastAsia="Arial" w:hAnsi="Arial" w:cs="Arial"/>
        </w:rPr>
      </w:pPr>
    </w:p>
    <w:p w:rsidR="00855438" w:rsidRDefault="00855438">
      <w:pPr>
        <w:spacing w:before="0" w:line="240" w:lineRule="auto"/>
        <w:rPr>
          <w:rFonts w:ascii="Arial" w:eastAsia="Arial" w:hAnsi="Arial" w:cs="Arial"/>
        </w:rPr>
      </w:pPr>
    </w:p>
    <w:p w:rsidR="00855438" w:rsidRDefault="00855438">
      <w:pPr>
        <w:spacing w:before="0" w:line="240" w:lineRule="auto"/>
        <w:rPr>
          <w:rFonts w:ascii="Arial" w:eastAsia="Arial" w:hAnsi="Arial" w:cs="Arial"/>
        </w:rPr>
      </w:pPr>
    </w:p>
    <w:p w:rsidR="00855438" w:rsidRDefault="00855438">
      <w:pPr>
        <w:spacing w:before="0" w:line="240" w:lineRule="auto"/>
        <w:rPr>
          <w:rFonts w:ascii="Arial" w:eastAsia="Arial" w:hAnsi="Arial" w:cs="Arial"/>
        </w:rPr>
      </w:pPr>
    </w:p>
    <w:p w:rsidR="00855438" w:rsidRDefault="00855438">
      <w:pPr>
        <w:spacing w:before="0" w:line="240" w:lineRule="auto"/>
        <w:rPr>
          <w:rFonts w:ascii="Arial" w:eastAsia="Arial" w:hAnsi="Arial" w:cs="Arial"/>
        </w:rPr>
      </w:pPr>
    </w:p>
    <w:p w:rsidR="00855438" w:rsidRDefault="00855438">
      <w:pPr>
        <w:spacing w:before="0" w:line="240" w:lineRule="auto"/>
        <w:rPr>
          <w:rFonts w:ascii="Arial" w:eastAsia="Arial" w:hAnsi="Arial" w:cs="Arial"/>
        </w:rPr>
      </w:pPr>
    </w:p>
    <w:p w:rsidR="00855438" w:rsidRDefault="00855438">
      <w:pPr>
        <w:spacing w:before="0" w:line="240" w:lineRule="auto"/>
        <w:rPr>
          <w:rFonts w:ascii="Arial" w:eastAsia="Arial" w:hAnsi="Arial" w:cs="Arial"/>
        </w:rPr>
      </w:pPr>
    </w:p>
    <w:p w:rsidR="00855438" w:rsidRDefault="00855438">
      <w:pPr>
        <w:spacing w:before="0" w:line="240" w:lineRule="auto"/>
        <w:rPr>
          <w:rFonts w:ascii="Arial" w:eastAsia="Arial" w:hAnsi="Arial" w:cs="Arial"/>
        </w:rPr>
      </w:pPr>
    </w:p>
    <w:p w:rsidR="00855438" w:rsidRDefault="00855438">
      <w:pPr>
        <w:spacing w:before="0" w:line="240" w:lineRule="auto"/>
        <w:rPr>
          <w:rFonts w:ascii="Arial" w:eastAsia="Arial" w:hAnsi="Arial" w:cs="Arial"/>
        </w:rPr>
      </w:pPr>
    </w:p>
    <w:p w:rsidR="00855438" w:rsidRDefault="00855438">
      <w:pPr>
        <w:spacing w:before="0" w:line="240" w:lineRule="auto"/>
        <w:rPr>
          <w:rFonts w:ascii="Arial" w:eastAsia="Arial" w:hAnsi="Arial" w:cs="Arial"/>
        </w:rPr>
      </w:pPr>
    </w:p>
    <w:p w:rsidR="00855438" w:rsidRDefault="00855438">
      <w:pPr>
        <w:spacing w:before="0" w:line="240" w:lineRule="auto"/>
        <w:rPr>
          <w:rFonts w:ascii="Arial" w:eastAsia="Arial" w:hAnsi="Arial" w:cs="Arial"/>
        </w:rPr>
      </w:pPr>
    </w:p>
    <w:p w:rsidR="00855438" w:rsidRDefault="00855438">
      <w:pPr>
        <w:spacing w:before="0" w:line="240" w:lineRule="auto"/>
        <w:rPr>
          <w:rFonts w:ascii="Arial" w:eastAsia="Arial" w:hAnsi="Arial" w:cs="Arial"/>
        </w:rPr>
      </w:pPr>
    </w:p>
    <w:p w:rsidR="00855438" w:rsidRDefault="00855438">
      <w:pPr>
        <w:spacing w:before="0" w:line="240" w:lineRule="auto"/>
        <w:rPr>
          <w:rFonts w:ascii="Arial" w:eastAsia="Arial" w:hAnsi="Arial" w:cs="Arial"/>
        </w:rPr>
      </w:pPr>
    </w:p>
    <w:p w:rsidR="00855438" w:rsidRDefault="00855438">
      <w:pPr>
        <w:spacing w:before="0" w:line="240" w:lineRule="auto"/>
        <w:rPr>
          <w:rFonts w:ascii="Arial" w:eastAsia="Arial" w:hAnsi="Arial" w:cs="Arial"/>
        </w:rPr>
      </w:pPr>
    </w:p>
    <w:p w:rsidR="00855438" w:rsidRDefault="00855438">
      <w:pPr>
        <w:spacing w:before="0" w:line="240" w:lineRule="auto"/>
        <w:rPr>
          <w:rFonts w:ascii="Arial" w:eastAsia="Arial" w:hAnsi="Arial" w:cs="Arial"/>
        </w:rPr>
      </w:pPr>
    </w:p>
    <w:p w:rsidR="00855438" w:rsidRDefault="00855438">
      <w:pPr>
        <w:spacing w:before="0" w:line="240" w:lineRule="auto"/>
        <w:rPr>
          <w:rFonts w:ascii="Arial" w:eastAsia="Arial" w:hAnsi="Arial" w:cs="Arial"/>
        </w:rPr>
      </w:pPr>
    </w:p>
    <w:p w:rsidR="00855438" w:rsidRDefault="00855438">
      <w:pPr>
        <w:spacing w:before="0" w:line="240" w:lineRule="auto"/>
        <w:rPr>
          <w:rFonts w:ascii="Arial" w:eastAsia="Arial" w:hAnsi="Arial" w:cs="Arial"/>
        </w:rPr>
      </w:pPr>
    </w:p>
    <w:p w:rsidR="00855438" w:rsidRDefault="00855438">
      <w:pPr>
        <w:spacing w:before="0" w:line="240" w:lineRule="auto"/>
        <w:rPr>
          <w:rFonts w:ascii="Arial" w:eastAsia="Arial" w:hAnsi="Arial" w:cs="Arial"/>
        </w:rPr>
      </w:pPr>
    </w:p>
    <w:p w:rsidR="00855438" w:rsidRPr="00195EEB" w:rsidRDefault="00195EEB">
      <w:pPr>
        <w:spacing w:before="0" w:line="240" w:lineRule="auto"/>
        <w:rPr>
          <w:rFonts w:asciiTheme="minorHAnsi" w:eastAsia="Arial" w:hAnsiTheme="minorHAnsi" w:cs="Arial"/>
        </w:rPr>
      </w:pPr>
      <w:r w:rsidRPr="00195EEB">
        <w:rPr>
          <w:rFonts w:asciiTheme="minorHAnsi" w:eastAsia="Arial" w:hAnsiTheme="minorHAnsi" w:cs="Arial"/>
        </w:rPr>
        <w:t xml:space="preserve">Sus principales profesionales corresponden a: Trabajador/a Social, Psicólogo/a, Médico Pediatra y/o </w:t>
      </w:r>
      <w:proofErr w:type="gramStart"/>
      <w:r w:rsidRPr="00195EEB">
        <w:rPr>
          <w:rFonts w:asciiTheme="minorHAnsi" w:eastAsia="Arial" w:hAnsiTheme="minorHAnsi" w:cs="Arial"/>
        </w:rPr>
        <w:t>médico</w:t>
      </w:r>
      <w:proofErr w:type="gramEnd"/>
      <w:r w:rsidRPr="00195EEB">
        <w:rPr>
          <w:rFonts w:asciiTheme="minorHAnsi" w:eastAsia="Arial" w:hAnsiTheme="minorHAnsi" w:cs="Arial"/>
        </w:rPr>
        <w:t xml:space="preserve"> familiar con mención en adolescencia, Ginecología y Obstetricia en pediatría y adolescencia y enfermero/a y/o </w:t>
      </w:r>
      <w:proofErr w:type="spellStart"/>
      <w:r w:rsidRPr="00195EEB">
        <w:rPr>
          <w:rFonts w:asciiTheme="minorHAnsi" w:eastAsia="Arial" w:hAnsiTheme="minorHAnsi" w:cs="Arial"/>
        </w:rPr>
        <w:t>matrón</w:t>
      </w:r>
      <w:proofErr w:type="spellEnd"/>
      <w:r w:rsidRPr="00195EEB">
        <w:rPr>
          <w:rFonts w:asciiTheme="minorHAnsi" w:eastAsia="Arial" w:hAnsiTheme="minorHAnsi" w:cs="Arial"/>
        </w:rPr>
        <w:t xml:space="preserve">/a. </w:t>
      </w:r>
    </w:p>
    <w:p w:rsidR="00855438" w:rsidRPr="00195EEB" w:rsidRDefault="00855438">
      <w:pPr>
        <w:spacing w:before="0" w:line="240" w:lineRule="auto"/>
        <w:rPr>
          <w:rFonts w:asciiTheme="minorHAnsi" w:eastAsia="Arial" w:hAnsiTheme="minorHAnsi" w:cs="Arial"/>
        </w:rPr>
      </w:pPr>
    </w:p>
    <w:p w:rsidR="00855438" w:rsidRPr="00195EEB" w:rsidRDefault="00195EEB">
      <w:pPr>
        <w:spacing w:before="0" w:line="240" w:lineRule="auto"/>
        <w:rPr>
          <w:rFonts w:asciiTheme="minorHAnsi" w:eastAsia="Arial" w:hAnsiTheme="minorHAnsi" w:cs="Arial"/>
        </w:rPr>
      </w:pPr>
      <w:r w:rsidRPr="00195EEB">
        <w:rPr>
          <w:rFonts w:asciiTheme="minorHAnsi" w:eastAsia="Arial" w:hAnsiTheme="minorHAnsi" w:cs="Arial"/>
        </w:rPr>
        <w:t>Los siguientes estándares r</w:t>
      </w:r>
      <w:r w:rsidRPr="00195EEB">
        <w:rPr>
          <w:rFonts w:asciiTheme="minorHAnsi" w:eastAsia="Arial" w:hAnsiTheme="minorHAnsi" w:cs="Arial"/>
        </w:rPr>
        <w:t>ecomendados constituyen un promedio del tiempo utilizado para cada prestación y son aplicables en la programación de la actividad clínico y de gestión asistencial en modalidad ambulatoria y cerrada de hospitales y/o centros de especialidad. Las prestacione</w:t>
      </w:r>
      <w:r w:rsidRPr="00195EEB">
        <w:rPr>
          <w:rFonts w:asciiTheme="minorHAnsi" w:eastAsia="Arial" w:hAnsiTheme="minorHAnsi" w:cs="Arial"/>
        </w:rPr>
        <w:t>s que cada establecimiento debe programar deben ajustarse a la cartera de servicios del establecimiento. En los establecimientos donde previamente se encuentren desarrollos de “comité de protección, de maltrato, de intervención en maltrato, de abuso sexual</w:t>
      </w:r>
      <w:r w:rsidRPr="00195EEB">
        <w:rPr>
          <w:rFonts w:asciiTheme="minorHAnsi" w:eastAsia="Arial" w:hAnsiTheme="minorHAnsi" w:cs="Arial"/>
        </w:rPr>
        <w:t xml:space="preserve"> y maltrato infantil o cualquiera de los nombres asignados”, su base será en concordancia a las actividades que ha desarrollado previamente esta estrategia. En los establecimientos donde no exista previo desarrollo, el presente anexo les permitirá configur</w:t>
      </w:r>
      <w:r w:rsidRPr="00195EEB">
        <w:rPr>
          <w:rFonts w:asciiTheme="minorHAnsi" w:eastAsia="Arial" w:hAnsiTheme="minorHAnsi" w:cs="Arial"/>
        </w:rPr>
        <w:t>ar la programación.</w:t>
      </w:r>
    </w:p>
    <w:p w:rsidR="00855438" w:rsidRPr="00195EEB" w:rsidRDefault="00855438">
      <w:pPr>
        <w:spacing w:before="0" w:line="240" w:lineRule="auto"/>
        <w:rPr>
          <w:rFonts w:asciiTheme="minorHAnsi" w:eastAsia="Arial" w:hAnsiTheme="minorHAnsi" w:cs="Arial"/>
        </w:rPr>
      </w:pPr>
    </w:p>
    <w:p w:rsidR="00855438" w:rsidRPr="00195EEB" w:rsidRDefault="00195EEB">
      <w:pPr>
        <w:spacing w:before="0" w:line="240" w:lineRule="auto"/>
        <w:rPr>
          <w:rFonts w:asciiTheme="minorHAnsi" w:eastAsia="Arial" w:hAnsiTheme="minorHAnsi" w:cs="Arial"/>
        </w:rPr>
      </w:pPr>
      <w:r w:rsidRPr="00195EEB">
        <w:rPr>
          <w:rFonts w:asciiTheme="minorHAnsi" w:eastAsia="Arial" w:hAnsiTheme="minorHAnsi" w:cs="Arial"/>
        </w:rPr>
        <w:t>Las actividades en materia de protección se podrán identificar en actividades individuales y grupales. Las actividades individuales corresponderán a prestaciones realizadas conforme a la cartera de prestaciones establecida por cada hos</w:t>
      </w:r>
      <w:r w:rsidRPr="00195EEB">
        <w:rPr>
          <w:rFonts w:asciiTheme="minorHAnsi" w:eastAsia="Arial" w:hAnsiTheme="minorHAnsi" w:cs="Arial"/>
        </w:rPr>
        <w:t xml:space="preserve">pital y/o establecimiento de atención secundaria, así como, a la conformación paulatina de las Estrategias de Protección de NNA, conocidas también como Unidades de Protección </w:t>
      </w:r>
      <w:proofErr w:type="spellStart"/>
      <w:r w:rsidRPr="00195EEB">
        <w:rPr>
          <w:rFonts w:asciiTheme="minorHAnsi" w:eastAsia="Arial" w:hAnsiTheme="minorHAnsi" w:cs="Arial"/>
        </w:rPr>
        <w:t>Infantoadolescente</w:t>
      </w:r>
      <w:proofErr w:type="spellEnd"/>
      <w:r w:rsidRPr="00195EEB">
        <w:rPr>
          <w:rFonts w:asciiTheme="minorHAnsi" w:eastAsia="Arial" w:hAnsiTheme="minorHAnsi" w:cs="Arial"/>
        </w:rPr>
        <w:t xml:space="preserve">. </w:t>
      </w:r>
    </w:p>
    <w:p w:rsidR="00855438" w:rsidRPr="00195EEB" w:rsidRDefault="00855438">
      <w:pPr>
        <w:spacing w:before="0" w:line="240" w:lineRule="auto"/>
        <w:rPr>
          <w:rFonts w:asciiTheme="minorHAnsi" w:eastAsia="Arial" w:hAnsiTheme="minorHAnsi" w:cs="Arial"/>
        </w:rPr>
      </w:pPr>
    </w:p>
    <w:p w:rsidR="00855438" w:rsidRPr="00195EEB" w:rsidRDefault="00195EEB">
      <w:pPr>
        <w:spacing w:before="0" w:line="240" w:lineRule="auto"/>
        <w:rPr>
          <w:rFonts w:asciiTheme="minorHAnsi" w:eastAsia="Arial" w:hAnsiTheme="minorHAnsi" w:cs="Arial"/>
        </w:rPr>
      </w:pPr>
      <w:r w:rsidRPr="00195EEB">
        <w:rPr>
          <w:rFonts w:asciiTheme="minorHAnsi" w:eastAsia="Arial" w:hAnsiTheme="minorHAnsi" w:cs="Arial"/>
        </w:rPr>
        <w:t>La configuración de la duración y rendimiento diferencial s</w:t>
      </w:r>
      <w:r w:rsidRPr="00195EEB">
        <w:rPr>
          <w:rFonts w:asciiTheme="minorHAnsi" w:eastAsia="Arial" w:hAnsiTheme="minorHAnsi" w:cs="Arial"/>
        </w:rPr>
        <w:t>e debe comprender, desde el ejercicio de la profesión que en conjunto incorpora a actividades relacionadas al mundo judicial, sea desde el ámbito penal o desde el familiar. Desde esta mirada, la confección de informes, la atención directa de pacientes entr</w:t>
      </w:r>
      <w:r w:rsidRPr="00195EEB">
        <w:rPr>
          <w:rFonts w:asciiTheme="minorHAnsi" w:eastAsia="Arial" w:hAnsiTheme="minorHAnsi" w:cs="Arial"/>
        </w:rPr>
        <w:t>e otras tiene un rendimiento mucho menor considerando la complejidad del acto, como son, por ejemplo, la pericia sexológica forense, la entrevista de profesionales de la dupla psicosocial para evaluar el probable evento de vulneración, como también la entr</w:t>
      </w:r>
      <w:r w:rsidRPr="00195EEB">
        <w:rPr>
          <w:rFonts w:asciiTheme="minorHAnsi" w:eastAsia="Arial" w:hAnsiTheme="minorHAnsi" w:cs="Arial"/>
        </w:rPr>
        <w:t>evista familiar.</w:t>
      </w:r>
    </w:p>
    <w:p w:rsidR="00855438" w:rsidRPr="00195EEB" w:rsidRDefault="00855438">
      <w:pPr>
        <w:spacing w:before="0" w:line="240" w:lineRule="auto"/>
        <w:rPr>
          <w:rFonts w:asciiTheme="minorHAnsi" w:eastAsia="Arial" w:hAnsiTheme="minorHAnsi" w:cs="Arial"/>
        </w:rPr>
      </w:pPr>
    </w:p>
    <w:p w:rsidR="00855438" w:rsidRPr="00195EEB" w:rsidRDefault="00195EEB">
      <w:pPr>
        <w:spacing w:before="0" w:line="240" w:lineRule="auto"/>
        <w:jc w:val="center"/>
        <w:rPr>
          <w:rFonts w:asciiTheme="minorHAnsi" w:eastAsia="Arial" w:hAnsiTheme="minorHAnsi" w:cs="Arial"/>
          <w:b/>
        </w:rPr>
      </w:pPr>
      <w:r w:rsidRPr="00195EEB">
        <w:rPr>
          <w:rFonts w:asciiTheme="minorHAnsi" w:eastAsia="Arial" w:hAnsiTheme="minorHAnsi" w:cs="Arial"/>
          <w:b/>
        </w:rPr>
        <w:t>PROPUESTA DE PROGRAMACIÓN SEGÚN PRESTACIONES EN ESTRATEGIAS DE PROTECCIÓN INFANTOADOLESCENTE</w:t>
      </w:r>
    </w:p>
    <w:tbl>
      <w:tblPr>
        <w:tblStyle w:val="a"/>
        <w:tblW w:w="1007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127"/>
        <w:gridCol w:w="3823"/>
        <w:gridCol w:w="1847"/>
        <w:gridCol w:w="2278"/>
      </w:tblGrid>
      <w:tr w:rsidR="00855438" w:rsidRPr="00195EEB">
        <w:trPr>
          <w:trHeight w:val="321"/>
          <w:jc w:val="center"/>
        </w:trPr>
        <w:tc>
          <w:tcPr>
            <w:tcW w:w="2127" w:type="dxa"/>
            <w:tcBorders>
              <w:top w:val="nil"/>
              <w:left w:val="nil"/>
              <w:bottom w:val="nil"/>
            </w:tcBorders>
            <w:shd w:val="clear" w:color="auto" w:fill="2E7CC0"/>
            <w:vAlign w:val="center"/>
          </w:tcPr>
          <w:p w:rsidR="00855438" w:rsidRPr="00195EEB" w:rsidRDefault="00195EEB">
            <w:pPr>
              <w:pBdr>
                <w:top w:val="nil"/>
                <w:left w:val="nil"/>
                <w:bottom w:val="nil"/>
                <w:right w:val="nil"/>
                <w:between w:val="nil"/>
              </w:pBdr>
              <w:spacing w:before="0" w:line="240" w:lineRule="auto"/>
              <w:ind w:left="118"/>
              <w:jc w:val="center"/>
              <w:rPr>
                <w:rFonts w:asciiTheme="minorHAnsi" w:eastAsia="Arial" w:hAnsiTheme="minorHAnsi" w:cs="Arial"/>
                <w:b/>
                <w:color w:val="767171"/>
                <w:sz w:val="18"/>
                <w:szCs w:val="18"/>
              </w:rPr>
            </w:pPr>
            <w:r w:rsidRPr="00195EEB">
              <w:rPr>
                <w:rFonts w:asciiTheme="minorHAnsi" w:eastAsia="Arial" w:hAnsiTheme="minorHAnsi" w:cs="Arial"/>
                <w:b/>
                <w:color w:val="FFFFFF"/>
                <w:sz w:val="18"/>
                <w:szCs w:val="18"/>
              </w:rPr>
              <w:t>PROFESIONAL</w:t>
            </w:r>
          </w:p>
        </w:tc>
        <w:tc>
          <w:tcPr>
            <w:tcW w:w="3823" w:type="dxa"/>
            <w:tcBorders>
              <w:top w:val="nil"/>
              <w:bottom w:val="nil"/>
            </w:tcBorders>
            <w:shd w:val="clear" w:color="auto" w:fill="2E7CC0"/>
            <w:vAlign w:val="center"/>
          </w:tcPr>
          <w:p w:rsidR="00855438" w:rsidRPr="00195EEB" w:rsidRDefault="00195EEB">
            <w:pPr>
              <w:pBdr>
                <w:top w:val="nil"/>
                <w:left w:val="nil"/>
                <w:bottom w:val="nil"/>
                <w:right w:val="nil"/>
                <w:between w:val="nil"/>
              </w:pBdr>
              <w:spacing w:before="0" w:line="240" w:lineRule="auto"/>
              <w:ind w:left="113"/>
              <w:jc w:val="center"/>
              <w:rPr>
                <w:rFonts w:asciiTheme="minorHAnsi" w:eastAsia="Arial" w:hAnsiTheme="minorHAnsi" w:cs="Arial"/>
                <w:b/>
                <w:color w:val="767171"/>
                <w:sz w:val="18"/>
                <w:szCs w:val="18"/>
              </w:rPr>
            </w:pPr>
            <w:r w:rsidRPr="00195EEB">
              <w:rPr>
                <w:rFonts w:asciiTheme="minorHAnsi" w:eastAsia="Arial" w:hAnsiTheme="minorHAnsi" w:cs="Arial"/>
                <w:b/>
                <w:color w:val="FFFFFF"/>
                <w:sz w:val="18"/>
                <w:szCs w:val="18"/>
              </w:rPr>
              <w:t>PRESTACIÓN</w:t>
            </w:r>
          </w:p>
        </w:tc>
        <w:tc>
          <w:tcPr>
            <w:tcW w:w="1847" w:type="dxa"/>
            <w:tcBorders>
              <w:top w:val="nil"/>
              <w:bottom w:val="nil"/>
            </w:tcBorders>
            <w:shd w:val="clear" w:color="auto" w:fill="2E7CC0"/>
            <w:vAlign w:val="center"/>
          </w:tcPr>
          <w:p w:rsidR="00855438" w:rsidRPr="00195EEB" w:rsidRDefault="00195EEB">
            <w:pPr>
              <w:pBdr>
                <w:top w:val="nil"/>
                <w:left w:val="nil"/>
                <w:bottom w:val="nil"/>
                <w:right w:val="nil"/>
                <w:between w:val="nil"/>
              </w:pBdr>
              <w:spacing w:before="0" w:line="240" w:lineRule="auto"/>
              <w:ind w:left="51" w:right="89"/>
              <w:jc w:val="center"/>
              <w:rPr>
                <w:rFonts w:asciiTheme="minorHAnsi" w:eastAsia="Arial" w:hAnsiTheme="minorHAnsi" w:cs="Arial"/>
                <w:b/>
                <w:color w:val="FFFFFF"/>
                <w:sz w:val="18"/>
                <w:szCs w:val="18"/>
              </w:rPr>
            </w:pPr>
            <w:r w:rsidRPr="00195EEB">
              <w:rPr>
                <w:rFonts w:asciiTheme="minorHAnsi" w:eastAsia="Arial" w:hAnsiTheme="minorHAnsi" w:cs="Arial"/>
                <w:b/>
                <w:color w:val="FFFFFF"/>
                <w:sz w:val="18"/>
                <w:szCs w:val="18"/>
              </w:rPr>
              <w:t>DURACIÓN</w:t>
            </w:r>
          </w:p>
        </w:tc>
        <w:tc>
          <w:tcPr>
            <w:tcW w:w="2278" w:type="dxa"/>
            <w:tcBorders>
              <w:top w:val="nil"/>
              <w:bottom w:val="nil"/>
            </w:tcBorders>
            <w:shd w:val="clear" w:color="auto" w:fill="2E7CC0"/>
            <w:vAlign w:val="center"/>
          </w:tcPr>
          <w:p w:rsidR="00855438" w:rsidRPr="00195EEB" w:rsidRDefault="00195EEB">
            <w:pPr>
              <w:pBdr>
                <w:top w:val="nil"/>
                <w:left w:val="nil"/>
                <w:bottom w:val="nil"/>
                <w:right w:val="nil"/>
                <w:between w:val="nil"/>
              </w:pBdr>
              <w:spacing w:before="0" w:line="240" w:lineRule="auto"/>
              <w:ind w:left="51" w:right="89"/>
              <w:jc w:val="center"/>
              <w:rPr>
                <w:rFonts w:asciiTheme="minorHAnsi" w:eastAsia="Arial" w:hAnsiTheme="minorHAnsi" w:cs="Arial"/>
                <w:b/>
                <w:color w:val="767171"/>
                <w:sz w:val="18"/>
                <w:szCs w:val="18"/>
              </w:rPr>
            </w:pPr>
            <w:r w:rsidRPr="00195EEB">
              <w:rPr>
                <w:rFonts w:asciiTheme="minorHAnsi" w:eastAsia="Arial" w:hAnsiTheme="minorHAnsi" w:cs="Arial"/>
                <w:b/>
                <w:color w:val="FFFFFF"/>
                <w:sz w:val="18"/>
                <w:szCs w:val="18"/>
              </w:rPr>
              <w:t>RENDIMIENTO</w:t>
            </w:r>
          </w:p>
        </w:tc>
      </w:tr>
      <w:tr w:rsidR="00855438" w:rsidRPr="00195EEB">
        <w:trPr>
          <w:trHeight w:val="20"/>
          <w:jc w:val="center"/>
        </w:trPr>
        <w:tc>
          <w:tcPr>
            <w:tcW w:w="2127" w:type="dxa"/>
            <w:tcBorders>
              <w:top w:val="nil"/>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6"/>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Médico</w:t>
            </w:r>
            <w:proofErr w:type="spellEnd"/>
          </w:p>
        </w:tc>
        <w:tc>
          <w:tcPr>
            <w:tcW w:w="3823" w:type="dxa"/>
            <w:tcBorders>
              <w:top w:val="nil"/>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Consulta</w:t>
            </w:r>
            <w:proofErr w:type="spellEnd"/>
            <w:r w:rsidRPr="00195EEB">
              <w:rPr>
                <w:rFonts w:asciiTheme="minorHAnsi" w:eastAsia="Arial" w:hAnsiTheme="minorHAnsi" w:cs="Arial"/>
                <w:color w:val="575756"/>
                <w:sz w:val="18"/>
                <w:szCs w:val="18"/>
              </w:rPr>
              <w:t xml:space="preserve"> Nueva</w:t>
            </w:r>
          </w:p>
        </w:tc>
        <w:tc>
          <w:tcPr>
            <w:tcW w:w="1847" w:type="dxa"/>
            <w:tcBorders>
              <w:top w:val="nil"/>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6 </w:t>
            </w:r>
            <w:proofErr w:type="spellStart"/>
            <w:r w:rsidRPr="00195EEB">
              <w:rPr>
                <w:rFonts w:asciiTheme="minorHAnsi" w:eastAsia="Arial" w:hAnsiTheme="minorHAnsi" w:cs="Arial"/>
                <w:color w:val="575756"/>
                <w:sz w:val="18"/>
                <w:szCs w:val="18"/>
              </w:rPr>
              <w:t>minutos</w:t>
            </w:r>
            <w:proofErr w:type="spellEnd"/>
          </w:p>
        </w:tc>
        <w:tc>
          <w:tcPr>
            <w:tcW w:w="2278" w:type="dxa"/>
            <w:tcBorders>
              <w:top w:val="nil"/>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1 </w:t>
            </w:r>
            <w:proofErr w:type="spellStart"/>
            <w:r w:rsidRPr="00195EEB">
              <w:rPr>
                <w:rFonts w:asciiTheme="minorHAnsi" w:eastAsia="Arial" w:hAnsiTheme="minorHAnsi" w:cs="Arial"/>
                <w:color w:val="575756"/>
                <w:sz w:val="18"/>
                <w:szCs w:val="18"/>
              </w:rPr>
              <w:t>paciente</w:t>
            </w:r>
            <w:proofErr w:type="spellEnd"/>
            <w:r w:rsidRPr="00195EEB">
              <w:rPr>
                <w:rFonts w:asciiTheme="minorHAnsi" w:eastAsia="Arial" w:hAnsiTheme="minorHAnsi" w:cs="Arial"/>
                <w:color w:val="575756"/>
                <w:sz w:val="18"/>
                <w:szCs w:val="18"/>
              </w:rPr>
              <w:t>/hora</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6"/>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Médico</w:t>
            </w:r>
            <w:proofErr w:type="spellEnd"/>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Consulta</w:t>
            </w:r>
            <w:proofErr w:type="spellEnd"/>
            <w:r w:rsidRPr="00195EEB">
              <w:rPr>
                <w:rFonts w:asciiTheme="minorHAnsi" w:eastAsia="Arial" w:hAnsiTheme="minorHAnsi" w:cs="Arial"/>
                <w:color w:val="575756"/>
                <w:sz w:val="18"/>
                <w:szCs w:val="18"/>
              </w:rPr>
              <w:t xml:space="preserve"> Control</w:t>
            </w:r>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40 </w:t>
            </w:r>
            <w:proofErr w:type="spellStart"/>
            <w:r w:rsidRPr="00195EEB">
              <w:rPr>
                <w:rFonts w:asciiTheme="minorHAnsi" w:eastAsia="Arial" w:hAnsiTheme="minorHAnsi" w:cs="Arial"/>
                <w:color w:val="575756"/>
                <w:sz w:val="18"/>
                <w:szCs w:val="18"/>
              </w:rPr>
              <w:t>minutos</w:t>
            </w:r>
            <w:proofErr w:type="spellEnd"/>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1 </w:t>
            </w:r>
            <w:proofErr w:type="spellStart"/>
            <w:r w:rsidRPr="00195EEB">
              <w:rPr>
                <w:rFonts w:asciiTheme="minorHAnsi" w:eastAsia="Arial" w:hAnsiTheme="minorHAnsi" w:cs="Arial"/>
                <w:color w:val="575756"/>
                <w:sz w:val="18"/>
                <w:szCs w:val="18"/>
              </w:rPr>
              <w:t>paciente</w:t>
            </w:r>
            <w:proofErr w:type="spellEnd"/>
            <w:r w:rsidRPr="00195EEB">
              <w:rPr>
                <w:rFonts w:asciiTheme="minorHAnsi" w:eastAsia="Arial" w:hAnsiTheme="minorHAnsi" w:cs="Arial"/>
                <w:color w:val="575756"/>
                <w:sz w:val="18"/>
                <w:szCs w:val="18"/>
              </w:rPr>
              <w:t>/ hora</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6"/>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Médico</w:t>
            </w:r>
            <w:proofErr w:type="spellEnd"/>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Comité</w:t>
            </w:r>
            <w:proofErr w:type="spellEnd"/>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4 horas/</w:t>
            </w:r>
            <w:proofErr w:type="spellStart"/>
            <w:r w:rsidRPr="00195EEB">
              <w:rPr>
                <w:rFonts w:asciiTheme="minorHAnsi" w:eastAsia="Arial" w:hAnsiTheme="minorHAnsi" w:cs="Arial"/>
                <w:color w:val="575756"/>
                <w:sz w:val="18"/>
                <w:szCs w:val="18"/>
              </w:rPr>
              <w:t>semanales</w:t>
            </w:r>
            <w:proofErr w:type="spellEnd"/>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2 a 4 </w:t>
            </w:r>
            <w:proofErr w:type="spellStart"/>
            <w:r w:rsidRPr="00195EEB">
              <w:rPr>
                <w:rFonts w:asciiTheme="minorHAnsi" w:eastAsia="Arial" w:hAnsiTheme="minorHAnsi" w:cs="Arial"/>
                <w:color w:val="575756"/>
                <w:sz w:val="18"/>
                <w:szCs w:val="18"/>
              </w:rPr>
              <w:t>pacientes</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por</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sesión</w:t>
            </w:r>
            <w:proofErr w:type="spellEnd"/>
            <w:r w:rsidRPr="00195EEB">
              <w:rPr>
                <w:rFonts w:asciiTheme="minorHAnsi" w:eastAsia="Arial" w:hAnsiTheme="minorHAnsi" w:cs="Arial"/>
                <w:color w:val="575756"/>
                <w:sz w:val="18"/>
                <w:szCs w:val="18"/>
              </w:rPr>
              <w:t xml:space="preserve"> </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6"/>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Médico</w:t>
            </w:r>
            <w:proofErr w:type="spellEnd"/>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Telemedicina</w:t>
            </w:r>
            <w:proofErr w:type="spellEnd"/>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30</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1 </w:t>
            </w:r>
            <w:proofErr w:type="spellStart"/>
            <w:r w:rsidRPr="00195EEB">
              <w:rPr>
                <w:rFonts w:asciiTheme="minorHAnsi" w:eastAsia="Arial" w:hAnsiTheme="minorHAnsi" w:cs="Arial"/>
                <w:color w:val="575756"/>
                <w:sz w:val="18"/>
                <w:szCs w:val="18"/>
              </w:rPr>
              <w:t>paciente</w:t>
            </w:r>
            <w:proofErr w:type="spellEnd"/>
            <w:r w:rsidRPr="00195EEB">
              <w:rPr>
                <w:rFonts w:asciiTheme="minorHAnsi" w:eastAsia="Arial" w:hAnsiTheme="minorHAnsi" w:cs="Arial"/>
                <w:color w:val="575756"/>
                <w:sz w:val="18"/>
                <w:szCs w:val="18"/>
              </w:rPr>
              <w:t xml:space="preserve"> / 30 min.</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6"/>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Médico</w:t>
            </w:r>
            <w:proofErr w:type="spellEnd"/>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Contacto</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telefónico</w:t>
            </w:r>
            <w:proofErr w:type="spellEnd"/>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15</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855438">
            <w:pPr>
              <w:pBdr>
                <w:top w:val="nil"/>
                <w:left w:val="nil"/>
                <w:bottom w:val="nil"/>
                <w:right w:val="nil"/>
                <w:between w:val="nil"/>
              </w:pBdr>
              <w:spacing w:before="0" w:line="240" w:lineRule="auto"/>
              <w:ind w:left="112" w:right="116"/>
              <w:jc w:val="left"/>
              <w:rPr>
                <w:rFonts w:asciiTheme="minorHAnsi" w:eastAsia="Arial" w:hAnsiTheme="minorHAnsi" w:cs="Arial"/>
                <w:color w:val="575756"/>
                <w:sz w:val="18"/>
                <w:szCs w:val="18"/>
              </w:rPr>
            </w:pP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Médico</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Oftalmólogo</w:t>
            </w:r>
            <w:proofErr w:type="spellEnd"/>
            <w:r w:rsidRPr="00195EEB">
              <w:rPr>
                <w:rFonts w:asciiTheme="minorHAnsi" w:eastAsia="Arial" w:hAnsiTheme="minorHAnsi" w:cs="Arial"/>
                <w:color w:val="575756"/>
                <w:sz w:val="18"/>
                <w:szCs w:val="18"/>
              </w:rPr>
              <w:t xml:space="preserve"> </w:t>
            </w:r>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Consulta</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nueva</w:t>
            </w:r>
            <w:proofErr w:type="spellEnd"/>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45 min</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1 </w:t>
            </w:r>
            <w:proofErr w:type="spellStart"/>
            <w:r w:rsidRPr="00195EEB">
              <w:rPr>
                <w:rFonts w:asciiTheme="minorHAnsi" w:eastAsia="Arial" w:hAnsiTheme="minorHAnsi" w:cs="Arial"/>
                <w:color w:val="575756"/>
                <w:sz w:val="18"/>
                <w:szCs w:val="18"/>
              </w:rPr>
              <w:t>paciente</w:t>
            </w:r>
            <w:proofErr w:type="spellEnd"/>
            <w:r w:rsidRPr="00195EEB">
              <w:rPr>
                <w:rFonts w:asciiTheme="minorHAnsi" w:eastAsia="Arial" w:hAnsiTheme="minorHAnsi" w:cs="Arial"/>
                <w:color w:val="575756"/>
                <w:sz w:val="18"/>
                <w:szCs w:val="18"/>
              </w:rPr>
              <w:t xml:space="preserve"> - </w:t>
            </w:r>
            <w:proofErr w:type="spellStart"/>
            <w:r w:rsidRPr="00195EEB">
              <w:rPr>
                <w:rFonts w:asciiTheme="minorHAnsi" w:eastAsia="Arial" w:hAnsiTheme="minorHAnsi" w:cs="Arial"/>
                <w:color w:val="575756"/>
                <w:sz w:val="18"/>
                <w:szCs w:val="18"/>
              </w:rPr>
              <w:t>informe</w:t>
            </w:r>
            <w:proofErr w:type="spellEnd"/>
            <w:r w:rsidRPr="00195EEB">
              <w:rPr>
                <w:rFonts w:asciiTheme="minorHAnsi" w:eastAsia="Arial" w:hAnsiTheme="minorHAnsi" w:cs="Arial"/>
                <w:color w:val="575756"/>
                <w:sz w:val="18"/>
                <w:szCs w:val="18"/>
              </w:rPr>
              <w:t>/hora</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Médico</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Ginecología</w:t>
            </w:r>
            <w:proofErr w:type="spellEnd"/>
            <w:r w:rsidRPr="00195EEB">
              <w:rPr>
                <w:rFonts w:asciiTheme="minorHAnsi" w:eastAsia="Arial" w:hAnsiTheme="minorHAnsi" w:cs="Arial"/>
                <w:color w:val="575756"/>
                <w:sz w:val="18"/>
                <w:szCs w:val="18"/>
              </w:rPr>
              <w:t xml:space="preserve"> y </w:t>
            </w:r>
            <w:proofErr w:type="spellStart"/>
            <w:r w:rsidRPr="00195EEB">
              <w:rPr>
                <w:rFonts w:asciiTheme="minorHAnsi" w:eastAsia="Arial" w:hAnsiTheme="minorHAnsi" w:cs="Arial"/>
                <w:color w:val="575756"/>
                <w:sz w:val="18"/>
                <w:szCs w:val="18"/>
              </w:rPr>
              <w:t>Obstetricia</w:t>
            </w:r>
            <w:proofErr w:type="spellEnd"/>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Consulta</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nueva</w:t>
            </w:r>
            <w:proofErr w:type="spellEnd"/>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rPr>
                <w:rFonts w:asciiTheme="minorHAnsi" w:eastAsia="Arial" w:hAnsiTheme="minorHAnsi" w:cs="Arial"/>
                <w:color w:val="575756"/>
                <w:sz w:val="18"/>
                <w:szCs w:val="18"/>
                <w:lang w:val="es-CL"/>
              </w:rPr>
            </w:pPr>
            <w:r w:rsidRPr="00195EEB">
              <w:rPr>
                <w:rFonts w:asciiTheme="minorHAnsi" w:eastAsia="Arial" w:hAnsiTheme="minorHAnsi" w:cs="Arial"/>
                <w:color w:val="575756"/>
                <w:sz w:val="18"/>
                <w:szCs w:val="18"/>
                <w:lang w:val="es-CL"/>
              </w:rPr>
              <w:t>2-3 horas</w:t>
            </w:r>
          </w:p>
          <w:p w:rsidR="00855438" w:rsidRPr="00195EEB" w:rsidRDefault="00195EEB">
            <w:pPr>
              <w:pBdr>
                <w:top w:val="nil"/>
                <w:left w:val="nil"/>
                <w:bottom w:val="nil"/>
                <w:right w:val="nil"/>
                <w:between w:val="nil"/>
              </w:pBdr>
              <w:spacing w:before="0" w:line="240" w:lineRule="auto"/>
              <w:ind w:right="116"/>
              <w:rPr>
                <w:rFonts w:asciiTheme="minorHAnsi" w:eastAsia="Arial" w:hAnsiTheme="minorHAnsi" w:cs="Arial"/>
                <w:color w:val="575756"/>
                <w:sz w:val="18"/>
                <w:szCs w:val="18"/>
                <w:lang w:val="es-CL"/>
              </w:rPr>
            </w:pPr>
            <w:r w:rsidRPr="00195EEB">
              <w:rPr>
                <w:rFonts w:asciiTheme="minorHAnsi" w:eastAsia="Arial" w:hAnsiTheme="minorHAnsi" w:cs="Arial"/>
                <w:color w:val="575756"/>
                <w:sz w:val="18"/>
                <w:szCs w:val="18"/>
                <w:lang w:val="es-CL"/>
              </w:rPr>
              <w:t>Aplica peritaje sexológico forense</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1 </w:t>
            </w:r>
            <w:proofErr w:type="spellStart"/>
            <w:r w:rsidRPr="00195EEB">
              <w:rPr>
                <w:rFonts w:asciiTheme="minorHAnsi" w:eastAsia="Arial" w:hAnsiTheme="minorHAnsi" w:cs="Arial"/>
                <w:color w:val="575756"/>
                <w:sz w:val="18"/>
                <w:szCs w:val="18"/>
              </w:rPr>
              <w:t>paciente</w:t>
            </w:r>
            <w:proofErr w:type="spellEnd"/>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Médico</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Ginecología</w:t>
            </w:r>
            <w:proofErr w:type="spellEnd"/>
            <w:r w:rsidRPr="00195EEB">
              <w:rPr>
                <w:rFonts w:asciiTheme="minorHAnsi" w:eastAsia="Arial" w:hAnsiTheme="minorHAnsi" w:cs="Arial"/>
                <w:color w:val="575756"/>
                <w:sz w:val="18"/>
                <w:szCs w:val="18"/>
              </w:rPr>
              <w:t xml:space="preserve"> y </w:t>
            </w:r>
            <w:proofErr w:type="spellStart"/>
            <w:r w:rsidRPr="00195EEB">
              <w:rPr>
                <w:rFonts w:asciiTheme="minorHAnsi" w:eastAsia="Arial" w:hAnsiTheme="minorHAnsi" w:cs="Arial"/>
                <w:color w:val="575756"/>
                <w:sz w:val="18"/>
                <w:szCs w:val="18"/>
              </w:rPr>
              <w:t>Obstetricia</w:t>
            </w:r>
            <w:proofErr w:type="spellEnd"/>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Consulta</w:t>
            </w:r>
            <w:proofErr w:type="spellEnd"/>
            <w:r w:rsidRPr="00195EEB">
              <w:rPr>
                <w:rFonts w:asciiTheme="minorHAnsi" w:eastAsia="Arial" w:hAnsiTheme="minorHAnsi" w:cs="Arial"/>
                <w:color w:val="575756"/>
                <w:sz w:val="18"/>
                <w:szCs w:val="18"/>
              </w:rPr>
              <w:t xml:space="preserve"> control</w:t>
            </w:r>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45 </w:t>
            </w:r>
            <w:proofErr w:type="spellStart"/>
            <w:r w:rsidRPr="00195EEB">
              <w:rPr>
                <w:rFonts w:asciiTheme="minorHAnsi" w:eastAsia="Arial" w:hAnsiTheme="minorHAnsi" w:cs="Arial"/>
                <w:color w:val="575756"/>
                <w:sz w:val="18"/>
                <w:szCs w:val="18"/>
              </w:rPr>
              <w:t>minutos</w:t>
            </w:r>
            <w:proofErr w:type="spellEnd"/>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1 ½ </w:t>
            </w:r>
            <w:proofErr w:type="spellStart"/>
            <w:r w:rsidRPr="00195EEB">
              <w:rPr>
                <w:rFonts w:asciiTheme="minorHAnsi" w:eastAsia="Arial" w:hAnsiTheme="minorHAnsi" w:cs="Arial"/>
                <w:color w:val="575756"/>
                <w:sz w:val="18"/>
                <w:szCs w:val="18"/>
              </w:rPr>
              <w:t>pacientes</w:t>
            </w:r>
            <w:proofErr w:type="spellEnd"/>
            <w:r w:rsidRPr="00195EEB">
              <w:rPr>
                <w:rFonts w:asciiTheme="minorHAnsi" w:eastAsia="Arial" w:hAnsiTheme="minorHAnsi" w:cs="Arial"/>
                <w:color w:val="575756"/>
                <w:sz w:val="18"/>
                <w:szCs w:val="18"/>
              </w:rPr>
              <w:t>/hora</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Médicos</w:t>
            </w:r>
            <w:proofErr w:type="spellEnd"/>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rPr>
                <w:rFonts w:asciiTheme="minorHAnsi" w:eastAsia="Arial" w:hAnsiTheme="minorHAnsi" w:cs="Arial"/>
                <w:color w:val="575756"/>
                <w:sz w:val="18"/>
                <w:szCs w:val="18"/>
                <w:lang w:val="es-CL"/>
              </w:rPr>
            </w:pPr>
            <w:r w:rsidRPr="00195EEB">
              <w:rPr>
                <w:rFonts w:asciiTheme="minorHAnsi" w:eastAsia="Arial" w:hAnsiTheme="minorHAnsi" w:cs="Arial"/>
                <w:color w:val="575756"/>
                <w:sz w:val="18"/>
                <w:szCs w:val="18"/>
                <w:lang w:val="es-CL"/>
              </w:rPr>
              <w:t>Participación en Tribunales (Garantía, Oral en lo Penal y Familiar)</w:t>
            </w:r>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2-4 </w:t>
            </w:r>
            <w:proofErr w:type="spellStart"/>
            <w:r w:rsidRPr="00195EEB">
              <w:rPr>
                <w:rFonts w:asciiTheme="minorHAnsi" w:eastAsia="Arial" w:hAnsiTheme="minorHAnsi" w:cs="Arial"/>
                <w:color w:val="575756"/>
                <w:sz w:val="18"/>
                <w:szCs w:val="18"/>
              </w:rPr>
              <w:t>hrs</w:t>
            </w:r>
            <w:proofErr w:type="spellEnd"/>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Materia del </w:t>
            </w:r>
            <w:proofErr w:type="spellStart"/>
            <w:r w:rsidRPr="00195EEB">
              <w:rPr>
                <w:rFonts w:asciiTheme="minorHAnsi" w:eastAsia="Arial" w:hAnsiTheme="minorHAnsi" w:cs="Arial"/>
                <w:color w:val="575756"/>
                <w:sz w:val="18"/>
                <w:szCs w:val="18"/>
              </w:rPr>
              <w:t>caso</w:t>
            </w:r>
            <w:proofErr w:type="spellEnd"/>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Enfermera</w:t>
            </w:r>
            <w:proofErr w:type="spellEnd"/>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Consulta</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nueva</w:t>
            </w:r>
            <w:proofErr w:type="spellEnd"/>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30 </w:t>
            </w:r>
            <w:proofErr w:type="spellStart"/>
            <w:r w:rsidRPr="00195EEB">
              <w:rPr>
                <w:rFonts w:asciiTheme="minorHAnsi" w:eastAsia="Arial" w:hAnsiTheme="minorHAnsi" w:cs="Arial"/>
                <w:color w:val="575756"/>
                <w:sz w:val="18"/>
                <w:szCs w:val="18"/>
              </w:rPr>
              <w:t>minutos</w:t>
            </w:r>
            <w:proofErr w:type="spellEnd"/>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2 </w:t>
            </w:r>
            <w:proofErr w:type="spellStart"/>
            <w:r w:rsidRPr="00195EEB">
              <w:rPr>
                <w:rFonts w:asciiTheme="minorHAnsi" w:eastAsia="Arial" w:hAnsiTheme="minorHAnsi" w:cs="Arial"/>
                <w:color w:val="575756"/>
                <w:sz w:val="18"/>
                <w:szCs w:val="18"/>
              </w:rPr>
              <w:t>paciente</w:t>
            </w:r>
            <w:proofErr w:type="spellEnd"/>
            <w:r w:rsidRPr="00195EEB">
              <w:rPr>
                <w:rFonts w:asciiTheme="minorHAnsi" w:eastAsia="Arial" w:hAnsiTheme="minorHAnsi" w:cs="Arial"/>
                <w:color w:val="575756"/>
                <w:sz w:val="18"/>
                <w:szCs w:val="18"/>
              </w:rPr>
              <w:t>/hora</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Enfermera</w:t>
            </w:r>
            <w:proofErr w:type="spellEnd"/>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Consulta</w:t>
            </w:r>
            <w:proofErr w:type="spellEnd"/>
            <w:r w:rsidRPr="00195EEB">
              <w:rPr>
                <w:rFonts w:asciiTheme="minorHAnsi" w:eastAsia="Arial" w:hAnsiTheme="minorHAnsi" w:cs="Arial"/>
                <w:color w:val="575756"/>
                <w:sz w:val="18"/>
                <w:szCs w:val="18"/>
              </w:rPr>
              <w:t xml:space="preserve"> control</w:t>
            </w:r>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15</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2 </w:t>
            </w:r>
            <w:proofErr w:type="spellStart"/>
            <w:r w:rsidRPr="00195EEB">
              <w:rPr>
                <w:rFonts w:asciiTheme="minorHAnsi" w:eastAsia="Arial" w:hAnsiTheme="minorHAnsi" w:cs="Arial"/>
                <w:color w:val="575756"/>
                <w:sz w:val="18"/>
                <w:szCs w:val="18"/>
              </w:rPr>
              <w:t>paciente</w:t>
            </w:r>
            <w:proofErr w:type="spellEnd"/>
            <w:r w:rsidRPr="00195EEB">
              <w:rPr>
                <w:rFonts w:asciiTheme="minorHAnsi" w:eastAsia="Arial" w:hAnsiTheme="minorHAnsi" w:cs="Arial"/>
                <w:color w:val="575756"/>
                <w:sz w:val="18"/>
                <w:szCs w:val="18"/>
              </w:rPr>
              <w:t>/hora</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Enfermera</w:t>
            </w:r>
            <w:proofErr w:type="spellEnd"/>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Visita</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domiciliaria</w:t>
            </w:r>
            <w:proofErr w:type="spellEnd"/>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2-3 horas</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2-3 horas NNA/</w:t>
            </w:r>
            <w:proofErr w:type="spellStart"/>
            <w:r w:rsidRPr="00195EEB">
              <w:rPr>
                <w:rFonts w:asciiTheme="minorHAnsi" w:eastAsia="Arial" w:hAnsiTheme="minorHAnsi" w:cs="Arial"/>
                <w:color w:val="575756"/>
                <w:sz w:val="18"/>
                <w:szCs w:val="18"/>
              </w:rPr>
              <w:t>familia</w:t>
            </w:r>
            <w:proofErr w:type="spellEnd"/>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Enfermera</w:t>
            </w:r>
            <w:proofErr w:type="spellEnd"/>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Comité</w:t>
            </w:r>
            <w:proofErr w:type="spellEnd"/>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4 horas/</w:t>
            </w:r>
            <w:proofErr w:type="spellStart"/>
            <w:r w:rsidRPr="00195EEB">
              <w:rPr>
                <w:rFonts w:asciiTheme="minorHAnsi" w:eastAsia="Arial" w:hAnsiTheme="minorHAnsi" w:cs="Arial"/>
                <w:color w:val="575756"/>
                <w:sz w:val="18"/>
                <w:szCs w:val="18"/>
              </w:rPr>
              <w:t>semanales</w:t>
            </w:r>
            <w:proofErr w:type="spellEnd"/>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855438">
            <w:pPr>
              <w:pBdr>
                <w:top w:val="nil"/>
                <w:left w:val="nil"/>
                <w:bottom w:val="nil"/>
                <w:right w:val="nil"/>
                <w:between w:val="nil"/>
              </w:pBdr>
              <w:spacing w:before="0" w:line="240" w:lineRule="auto"/>
              <w:ind w:left="112" w:right="116"/>
              <w:jc w:val="left"/>
              <w:rPr>
                <w:rFonts w:asciiTheme="minorHAnsi" w:eastAsia="Arial" w:hAnsiTheme="minorHAnsi" w:cs="Arial"/>
                <w:color w:val="575756"/>
                <w:sz w:val="18"/>
                <w:szCs w:val="18"/>
              </w:rPr>
            </w:pP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Enfermera</w:t>
            </w:r>
            <w:proofErr w:type="spellEnd"/>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Educación</w:t>
            </w:r>
            <w:proofErr w:type="spellEnd"/>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4 horas</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Según</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programa</w:t>
            </w:r>
            <w:proofErr w:type="spellEnd"/>
            <w:r w:rsidRPr="00195EEB">
              <w:rPr>
                <w:rFonts w:asciiTheme="minorHAnsi" w:eastAsia="Arial" w:hAnsiTheme="minorHAnsi" w:cs="Arial"/>
                <w:color w:val="575756"/>
                <w:sz w:val="18"/>
                <w:szCs w:val="18"/>
              </w:rPr>
              <w:t xml:space="preserve"> de </w:t>
            </w:r>
            <w:proofErr w:type="spellStart"/>
            <w:r w:rsidRPr="00195EEB">
              <w:rPr>
                <w:rFonts w:asciiTheme="minorHAnsi" w:eastAsia="Arial" w:hAnsiTheme="minorHAnsi" w:cs="Arial"/>
                <w:color w:val="575756"/>
                <w:sz w:val="18"/>
                <w:szCs w:val="18"/>
              </w:rPr>
              <w:t>capacitación</w:t>
            </w:r>
            <w:proofErr w:type="spellEnd"/>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Enfermera</w:t>
            </w:r>
            <w:proofErr w:type="spellEnd"/>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Telemedicina</w:t>
            </w:r>
            <w:proofErr w:type="spellEnd"/>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30 </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2 </w:t>
            </w:r>
            <w:proofErr w:type="spellStart"/>
            <w:r w:rsidRPr="00195EEB">
              <w:rPr>
                <w:rFonts w:asciiTheme="minorHAnsi" w:eastAsia="Arial" w:hAnsiTheme="minorHAnsi" w:cs="Arial"/>
                <w:color w:val="575756"/>
                <w:sz w:val="18"/>
                <w:szCs w:val="18"/>
              </w:rPr>
              <w:t>pacientes</w:t>
            </w:r>
            <w:proofErr w:type="spellEnd"/>
            <w:r w:rsidRPr="00195EEB">
              <w:rPr>
                <w:rFonts w:asciiTheme="minorHAnsi" w:eastAsia="Arial" w:hAnsiTheme="minorHAnsi" w:cs="Arial"/>
                <w:color w:val="575756"/>
                <w:sz w:val="18"/>
                <w:szCs w:val="18"/>
              </w:rPr>
              <w:t xml:space="preserve"> / 30 min.</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Enfermera</w:t>
            </w:r>
            <w:proofErr w:type="spellEnd"/>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Educación</w:t>
            </w:r>
            <w:proofErr w:type="spellEnd"/>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1 hora</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1 </w:t>
            </w:r>
            <w:proofErr w:type="spellStart"/>
            <w:r w:rsidRPr="00195EEB">
              <w:rPr>
                <w:rFonts w:asciiTheme="minorHAnsi" w:eastAsia="Arial" w:hAnsiTheme="minorHAnsi" w:cs="Arial"/>
                <w:color w:val="575756"/>
                <w:sz w:val="18"/>
                <w:szCs w:val="18"/>
              </w:rPr>
              <w:t>paciente</w:t>
            </w:r>
            <w:proofErr w:type="spellEnd"/>
            <w:r w:rsidRPr="00195EEB">
              <w:rPr>
                <w:rFonts w:asciiTheme="minorHAnsi" w:eastAsia="Arial" w:hAnsiTheme="minorHAnsi" w:cs="Arial"/>
                <w:color w:val="575756"/>
                <w:sz w:val="18"/>
                <w:szCs w:val="18"/>
              </w:rPr>
              <w:t>/</w:t>
            </w:r>
            <w:proofErr w:type="spellStart"/>
            <w:r w:rsidRPr="00195EEB">
              <w:rPr>
                <w:rFonts w:asciiTheme="minorHAnsi" w:eastAsia="Arial" w:hAnsiTheme="minorHAnsi" w:cs="Arial"/>
                <w:color w:val="575756"/>
                <w:sz w:val="18"/>
                <w:szCs w:val="18"/>
              </w:rPr>
              <w:t>familia</w:t>
            </w:r>
            <w:proofErr w:type="spellEnd"/>
            <w:r w:rsidRPr="00195EEB">
              <w:rPr>
                <w:rFonts w:asciiTheme="minorHAnsi" w:eastAsia="Arial" w:hAnsiTheme="minorHAnsi" w:cs="Arial"/>
                <w:color w:val="575756"/>
                <w:sz w:val="18"/>
                <w:szCs w:val="18"/>
              </w:rPr>
              <w:t>/hora</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Psicólogo</w:t>
            </w:r>
            <w:proofErr w:type="spellEnd"/>
            <w:r w:rsidRPr="00195EEB">
              <w:rPr>
                <w:rFonts w:asciiTheme="minorHAnsi" w:eastAsia="Arial" w:hAnsiTheme="minorHAnsi" w:cs="Arial"/>
                <w:color w:val="575756"/>
                <w:sz w:val="18"/>
                <w:szCs w:val="18"/>
              </w:rPr>
              <w:t xml:space="preserve"> </w:t>
            </w:r>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Entrevista</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inicial</w:t>
            </w:r>
            <w:proofErr w:type="spellEnd"/>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30 </w:t>
            </w:r>
            <w:proofErr w:type="spellStart"/>
            <w:r w:rsidRPr="00195EEB">
              <w:rPr>
                <w:rFonts w:asciiTheme="minorHAnsi" w:eastAsia="Arial" w:hAnsiTheme="minorHAnsi" w:cs="Arial"/>
                <w:color w:val="575756"/>
                <w:sz w:val="18"/>
                <w:szCs w:val="18"/>
              </w:rPr>
              <w:t>minutos</w:t>
            </w:r>
            <w:proofErr w:type="spellEnd"/>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2 </w:t>
            </w:r>
            <w:proofErr w:type="spellStart"/>
            <w:r w:rsidRPr="00195EEB">
              <w:rPr>
                <w:rFonts w:asciiTheme="minorHAnsi" w:eastAsia="Arial" w:hAnsiTheme="minorHAnsi" w:cs="Arial"/>
                <w:color w:val="575756"/>
                <w:sz w:val="18"/>
                <w:szCs w:val="18"/>
              </w:rPr>
              <w:t>paciente</w:t>
            </w:r>
            <w:proofErr w:type="spellEnd"/>
            <w:r w:rsidRPr="00195EEB">
              <w:rPr>
                <w:rFonts w:asciiTheme="minorHAnsi" w:eastAsia="Arial" w:hAnsiTheme="minorHAnsi" w:cs="Arial"/>
                <w:color w:val="575756"/>
                <w:sz w:val="18"/>
                <w:szCs w:val="18"/>
              </w:rPr>
              <w:t>/hora</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Psicólogo</w:t>
            </w:r>
            <w:proofErr w:type="spellEnd"/>
            <w:r w:rsidRPr="00195EEB">
              <w:rPr>
                <w:rFonts w:asciiTheme="minorHAnsi" w:eastAsia="Arial" w:hAnsiTheme="minorHAnsi" w:cs="Arial"/>
                <w:color w:val="575756"/>
                <w:sz w:val="18"/>
                <w:szCs w:val="18"/>
              </w:rPr>
              <w:t xml:space="preserve"> </w:t>
            </w:r>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rPr>
                <w:rFonts w:asciiTheme="minorHAnsi" w:eastAsia="Arial" w:hAnsiTheme="minorHAnsi" w:cs="Arial"/>
                <w:color w:val="575756"/>
                <w:sz w:val="18"/>
                <w:szCs w:val="18"/>
                <w:lang w:val="es-CL"/>
              </w:rPr>
            </w:pPr>
            <w:r w:rsidRPr="00195EEB">
              <w:rPr>
                <w:rFonts w:asciiTheme="minorHAnsi" w:eastAsia="Arial" w:hAnsiTheme="minorHAnsi" w:cs="Arial"/>
                <w:color w:val="575756"/>
                <w:sz w:val="18"/>
                <w:szCs w:val="18"/>
                <w:lang w:val="es-CL"/>
              </w:rPr>
              <w:t>Consulta Nueva (entrevista NNA y familia) para exploración evento vulneración.</w:t>
            </w:r>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60</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1 </w:t>
            </w:r>
            <w:proofErr w:type="spellStart"/>
            <w:r w:rsidRPr="00195EEB">
              <w:rPr>
                <w:rFonts w:asciiTheme="minorHAnsi" w:eastAsia="Arial" w:hAnsiTheme="minorHAnsi" w:cs="Arial"/>
                <w:color w:val="575756"/>
                <w:sz w:val="18"/>
                <w:szCs w:val="18"/>
              </w:rPr>
              <w:t>paciente</w:t>
            </w:r>
            <w:proofErr w:type="spellEnd"/>
            <w:r w:rsidRPr="00195EEB">
              <w:rPr>
                <w:rFonts w:asciiTheme="minorHAnsi" w:eastAsia="Arial" w:hAnsiTheme="minorHAnsi" w:cs="Arial"/>
                <w:color w:val="575756"/>
                <w:sz w:val="18"/>
                <w:szCs w:val="18"/>
              </w:rPr>
              <w:t>/hora</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jc w:val="left"/>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Psicólogo</w:t>
            </w:r>
            <w:proofErr w:type="spellEnd"/>
            <w:r w:rsidRPr="00195EEB">
              <w:rPr>
                <w:rFonts w:asciiTheme="minorHAnsi" w:eastAsia="Arial" w:hAnsiTheme="minorHAnsi" w:cs="Arial"/>
                <w:color w:val="575756"/>
                <w:sz w:val="18"/>
                <w:szCs w:val="18"/>
              </w:rPr>
              <w:t xml:space="preserve"> </w:t>
            </w:r>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Educación</w:t>
            </w:r>
            <w:proofErr w:type="spellEnd"/>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30 min</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1 </w:t>
            </w:r>
            <w:proofErr w:type="spellStart"/>
            <w:r w:rsidRPr="00195EEB">
              <w:rPr>
                <w:rFonts w:asciiTheme="minorHAnsi" w:eastAsia="Arial" w:hAnsiTheme="minorHAnsi" w:cs="Arial"/>
                <w:color w:val="575756"/>
                <w:sz w:val="18"/>
                <w:szCs w:val="18"/>
              </w:rPr>
              <w:t>paciente</w:t>
            </w:r>
            <w:proofErr w:type="spellEnd"/>
            <w:r w:rsidRPr="00195EEB">
              <w:rPr>
                <w:rFonts w:asciiTheme="minorHAnsi" w:eastAsia="Arial" w:hAnsiTheme="minorHAnsi" w:cs="Arial"/>
                <w:color w:val="575756"/>
                <w:sz w:val="18"/>
                <w:szCs w:val="18"/>
              </w:rPr>
              <w:t>/hora</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jc w:val="left"/>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Psicólogo</w:t>
            </w:r>
            <w:proofErr w:type="spellEnd"/>
            <w:r w:rsidRPr="00195EEB">
              <w:rPr>
                <w:rFonts w:asciiTheme="minorHAnsi" w:eastAsia="Arial" w:hAnsiTheme="minorHAnsi" w:cs="Arial"/>
                <w:color w:val="575756"/>
                <w:sz w:val="18"/>
                <w:szCs w:val="18"/>
              </w:rPr>
              <w:t xml:space="preserve"> </w:t>
            </w:r>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lang w:val="es-CL"/>
              </w:rPr>
            </w:pPr>
            <w:r w:rsidRPr="00195EEB">
              <w:rPr>
                <w:rFonts w:asciiTheme="minorHAnsi" w:eastAsia="Arial" w:hAnsiTheme="minorHAnsi" w:cs="Arial"/>
                <w:color w:val="575756"/>
                <w:sz w:val="18"/>
                <w:szCs w:val="18"/>
                <w:lang w:val="es-CL"/>
              </w:rPr>
              <w:t>Emisiones informes en contexto del Tribunal de Familia</w:t>
            </w:r>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3-5 horas</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3-5 horas/</w:t>
            </w:r>
            <w:proofErr w:type="spellStart"/>
            <w:r w:rsidRPr="00195EEB">
              <w:rPr>
                <w:rFonts w:asciiTheme="minorHAnsi" w:eastAsia="Arial" w:hAnsiTheme="minorHAnsi" w:cs="Arial"/>
                <w:color w:val="575756"/>
                <w:sz w:val="18"/>
                <w:szCs w:val="18"/>
              </w:rPr>
              <w:t>informe-paciente</w:t>
            </w:r>
            <w:proofErr w:type="spellEnd"/>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jc w:val="left"/>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Psicólogo</w:t>
            </w:r>
            <w:proofErr w:type="spellEnd"/>
            <w:r w:rsidRPr="00195EEB">
              <w:rPr>
                <w:rFonts w:asciiTheme="minorHAnsi" w:eastAsia="Arial" w:hAnsiTheme="minorHAnsi" w:cs="Arial"/>
                <w:color w:val="575756"/>
                <w:sz w:val="18"/>
                <w:szCs w:val="18"/>
              </w:rPr>
              <w:t xml:space="preserve"> </w:t>
            </w:r>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Comité</w:t>
            </w:r>
            <w:proofErr w:type="spellEnd"/>
            <w:r w:rsidRPr="00195EEB">
              <w:rPr>
                <w:rFonts w:asciiTheme="minorHAnsi" w:eastAsia="Arial" w:hAnsiTheme="minorHAnsi" w:cs="Arial"/>
                <w:color w:val="575756"/>
                <w:sz w:val="18"/>
                <w:szCs w:val="18"/>
              </w:rPr>
              <w:t xml:space="preserve"> </w:t>
            </w:r>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4 horas/</w:t>
            </w:r>
            <w:proofErr w:type="spellStart"/>
            <w:r w:rsidRPr="00195EEB">
              <w:rPr>
                <w:rFonts w:asciiTheme="minorHAnsi" w:eastAsia="Arial" w:hAnsiTheme="minorHAnsi" w:cs="Arial"/>
                <w:color w:val="575756"/>
                <w:sz w:val="18"/>
                <w:szCs w:val="18"/>
              </w:rPr>
              <w:t>semanales</w:t>
            </w:r>
            <w:proofErr w:type="spellEnd"/>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2 a 4 </w:t>
            </w:r>
            <w:proofErr w:type="spellStart"/>
            <w:r w:rsidRPr="00195EEB">
              <w:rPr>
                <w:rFonts w:asciiTheme="minorHAnsi" w:eastAsia="Arial" w:hAnsiTheme="minorHAnsi" w:cs="Arial"/>
                <w:color w:val="575756"/>
                <w:sz w:val="18"/>
                <w:szCs w:val="18"/>
              </w:rPr>
              <w:t>pacientes</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por</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sesión</w:t>
            </w:r>
            <w:proofErr w:type="spellEnd"/>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jc w:val="left"/>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Psicólogo</w:t>
            </w:r>
            <w:proofErr w:type="spellEnd"/>
            <w:r w:rsidRPr="00195EEB">
              <w:rPr>
                <w:rFonts w:asciiTheme="minorHAnsi" w:eastAsia="Arial" w:hAnsiTheme="minorHAnsi" w:cs="Arial"/>
                <w:color w:val="575756"/>
                <w:sz w:val="18"/>
                <w:szCs w:val="18"/>
              </w:rPr>
              <w:t xml:space="preserve"> </w:t>
            </w:r>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Telemedicina</w:t>
            </w:r>
            <w:proofErr w:type="spellEnd"/>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30 min</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2 </w:t>
            </w:r>
            <w:proofErr w:type="spellStart"/>
            <w:r w:rsidRPr="00195EEB">
              <w:rPr>
                <w:rFonts w:asciiTheme="minorHAnsi" w:eastAsia="Arial" w:hAnsiTheme="minorHAnsi" w:cs="Arial"/>
                <w:color w:val="575756"/>
                <w:sz w:val="18"/>
                <w:szCs w:val="18"/>
              </w:rPr>
              <w:t>paciente</w:t>
            </w:r>
            <w:proofErr w:type="spellEnd"/>
            <w:r w:rsidRPr="00195EEB">
              <w:rPr>
                <w:rFonts w:asciiTheme="minorHAnsi" w:eastAsia="Arial" w:hAnsiTheme="minorHAnsi" w:cs="Arial"/>
                <w:color w:val="575756"/>
                <w:sz w:val="18"/>
                <w:szCs w:val="18"/>
              </w:rPr>
              <w:t>/hora</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jc w:val="left"/>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Psicólogo</w:t>
            </w:r>
            <w:proofErr w:type="spellEnd"/>
            <w:r w:rsidRPr="00195EEB">
              <w:rPr>
                <w:rFonts w:asciiTheme="minorHAnsi" w:eastAsia="Arial" w:hAnsiTheme="minorHAnsi" w:cs="Arial"/>
                <w:color w:val="575756"/>
                <w:sz w:val="18"/>
                <w:szCs w:val="18"/>
              </w:rPr>
              <w:t xml:space="preserve"> </w:t>
            </w:r>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Consulta</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telefónica</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seguimiento</w:t>
            </w:r>
            <w:proofErr w:type="spellEnd"/>
            <w:r w:rsidRPr="00195EEB">
              <w:rPr>
                <w:rFonts w:asciiTheme="minorHAnsi" w:eastAsia="Arial" w:hAnsiTheme="minorHAnsi" w:cs="Arial"/>
                <w:color w:val="575756"/>
                <w:sz w:val="18"/>
                <w:szCs w:val="18"/>
              </w:rPr>
              <w:t>)</w:t>
            </w:r>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30 min</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2 </w:t>
            </w:r>
            <w:proofErr w:type="spellStart"/>
            <w:r w:rsidRPr="00195EEB">
              <w:rPr>
                <w:rFonts w:asciiTheme="minorHAnsi" w:eastAsia="Arial" w:hAnsiTheme="minorHAnsi" w:cs="Arial"/>
                <w:color w:val="575756"/>
                <w:sz w:val="18"/>
                <w:szCs w:val="18"/>
              </w:rPr>
              <w:t>paciente</w:t>
            </w:r>
            <w:proofErr w:type="spellEnd"/>
            <w:r w:rsidRPr="00195EEB">
              <w:rPr>
                <w:rFonts w:asciiTheme="minorHAnsi" w:eastAsia="Arial" w:hAnsiTheme="minorHAnsi" w:cs="Arial"/>
                <w:color w:val="575756"/>
                <w:sz w:val="18"/>
                <w:szCs w:val="18"/>
              </w:rPr>
              <w:t>/hora</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jc w:val="left"/>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Psicólogo</w:t>
            </w:r>
            <w:proofErr w:type="spellEnd"/>
            <w:r w:rsidRPr="00195EEB">
              <w:rPr>
                <w:rFonts w:asciiTheme="minorHAnsi" w:eastAsia="Arial" w:hAnsiTheme="minorHAnsi" w:cs="Arial"/>
                <w:color w:val="575756"/>
                <w:sz w:val="18"/>
                <w:szCs w:val="18"/>
              </w:rPr>
              <w:t xml:space="preserve"> </w:t>
            </w:r>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Atención</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ambulatoria</w:t>
            </w:r>
            <w:proofErr w:type="spellEnd"/>
            <w:r w:rsidRPr="00195EEB">
              <w:rPr>
                <w:rFonts w:asciiTheme="minorHAnsi" w:eastAsia="Arial" w:hAnsiTheme="minorHAnsi" w:cs="Arial"/>
                <w:color w:val="575756"/>
                <w:sz w:val="18"/>
                <w:szCs w:val="18"/>
              </w:rPr>
              <w:t xml:space="preserve"> a </w:t>
            </w:r>
            <w:proofErr w:type="spellStart"/>
            <w:r w:rsidRPr="00195EEB">
              <w:rPr>
                <w:rFonts w:asciiTheme="minorHAnsi" w:eastAsia="Arial" w:hAnsiTheme="minorHAnsi" w:cs="Arial"/>
                <w:color w:val="575756"/>
                <w:sz w:val="18"/>
                <w:szCs w:val="18"/>
              </w:rPr>
              <w:t>familiares</w:t>
            </w:r>
            <w:proofErr w:type="spellEnd"/>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30 min</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1 </w:t>
            </w:r>
            <w:proofErr w:type="spellStart"/>
            <w:r w:rsidRPr="00195EEB">
              <w:rPr>
                <w:rFonts w:asciiTheme="minorHAnsi" w:eastAsia="Arial" w:hAnsiTheme="minorHAnsi" w:cs="Arial"/>
                <w:color w:val="575756"/>
                <w:sz w:val="18"/>
                <w:szCs w:val="18"/>
              </w:rPr>
              <w:t>paciente-familia</w:t>
            </w:r>
            <w:proofErr w:type="spellEnd"/>
            <w:r w:rsidRPr="00195EEB">
              <w:rPr>
                <w:rFonts w:asciiTheme="minorHAnsi" w:eastAsia="Arial" w:hAnsiTheme="minorHAnsi" w:cs="Arial"/>
                <w:color w:val="575756"/>
                <w:sz w:val="18"/>
                <w:szCs w:val="18"/>
              </w:rPr>
              <w:t>/hora</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jc w:val="left"/>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Psicólogo</w:t>
            </w:r>
            <w:proofErr w:type="spellEnd"/>
            <w:r w:rsidRPr="00195EEB">
              <w:rPr>
                <w:rFonts w:asciiTheme="minorHAnsi" w:eastAsia="Arial" w:hAnsiTheme="minorHAnsi" w:cs="Arial"/>
                <w:color w:val="575756"/>
                <w:sz w:val="18"/>
                <w:szCs w:val="18"/>
              </w:rPr>
              <w:t xml:space="preserve"> </w:t>
            </w:r>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Psicoeducación</w:t>
            </w:r>
            <w:proofErr w:type="spellEnd"/>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45 min</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1 1/5 </w:t>
            </w:r>
            <w:proofErr w:type="spellStart"/>
            <w:r w:rsidRPr="00195EEB">
              <w:rPr>
                <w:rFonts w:asciiTheme="minorHAnsi" w:eastAsia="Arial" w:hAnsiTheme="minorHAnsi" w:cs="Arial"/>
                <w:color w:val="575756"/>
                <w:sz w:val="18"/>
                <w:szCs w:val="18"/>
              </w:rPr>
              <w:t>paciente</w:t>
            </w:r>
            <w:proofErr w:type="spellEnd"/>
            <w:r w:rsidRPr="00195EEB">
              <w:rPr>
                <w:rFonts w:asciiTheme="minorHAnsi" w:eastAsia="Arial" w:hAnsiTheme="minorHAnsi" w:cs="Arial"/>
                <w:color w:val="575756"/>
                <w:sz w:val="18"/>
                <w:szCs w:val="18"/>
              </w:rPr>
              <w:t>/hora</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T. social</w:t>
            </w:r>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3"/>
              <w:jc w:val="left"/>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Consulta</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nueva</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Entrevista</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inicial</w:t>
            </w:r>
            <w:proofErr w:type="spellEnd"/>
            <w:r w:rsidRPr="00195EEB">
              <w:rPr>
                <w:rFonts w:asciiTheme="minorHAnsi" w:eastAsia="Arial" w:hAnsiTheme="minorHAnsi" w:cs="Arial"/>
                <w:color w:val="575756"/>
                <w:sz w:val="18"/>
                <w:szCs w:val="18"/>
              </w:rPr>
              <w:t>)</w:t>
            </w:r>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60 min</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3"/>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1 </w:t>
            </w:r>
            <w:proofErr w:type="spellStart"/>
            <w:r w:rsidRPr="00195EEB">
              <w:rPr>
                <w:rFonts w:asciiTheme="minorHAnsi" w:eastAsia="Arial" w:hAnsiTheme="minorHAnsi" w:cs="Arial"/>
                <w:color w:val="575756"/>
                <w:sz w:val="18"/>
                <w:szCs w:val="18"/>
              </w:rPr>
              <w:t>paciente</w:t>
            </w:r>
            <w:proofErr w:type="spellEnd"/>
            <w:r w:rsidRPr="00195EEB">
              <w:rPr>
                <w:rFonts w:asciiTheme="minorHAnsi" w:eastAsia="Arial" w:hAnsiTheme="minorHAnsi" w:cs="Arial"/>
                <w:color w:val="575756"/>
                <w:sz w:val="18"/>
                <w:szCs w:val="18"/>
              </w:rPr>
              <w:t>/hora</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T. social</w:t>
            </w:r>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3"/>
              <w:jc w:val="left"/>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Consulta</w:t>
            </w:r>
            <w:proofErr w:type="spellEnd"/>
            <w:r w:rsidRPr="00195EEB">
              <w:rPr>
                <w:rFonts w:asciiTheme="minorHAnsi" w:eastAsia="Arial" w:hAnsiTheme="minorHAnsi" w:cs="Arial"/>
                <w:color w:val="575756"/>
                <w:sz w:val="18"/>
                <w:szCs w:val="18"/>
              </w:rPr>
              <w:t xml:space="preserve"> control </w:t>
            </w:r>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45 min</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3"/>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1 1/5 </w:t>
            </w:r>
            <w:proofErr w:type="spellStart"/>
            <w:r w:rsidRPr="00195EEB">
              <w:rPr>
                <w:rFonts w:asciiTheme="minorHAnsi" w:eastAsia="Arial" w:hAnsiTheme="minorHAnsi" w:cs="Arial"/>
                <w:color w:val="575756"/>
                <w:sz w:val="18"/>
                <w:szCs w:val="18"/>
              </w:rPr>
              <w:t>paciente</w:t>
            </w:r>
            <w:proofErr w:type="spellEnd"/>
            <w:r w:rsidRPr="00195EEB">
              <w:rPr>
                <w:rFonts w:asciiTheme="minorHAnsi" w:eastAsia="Arial" w:hAnsiTheme="minorHAnsi" w:cs="Arial"/>
                <w:color w:val="575756"/>
                <w:sz w:val="18"/>
                <w:szCs w:val="18"/>
              </w:rPr>
              <w:t>/hora</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T. social</w:t>
            </w:r>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3"/>
              <w:jc w:val="left"/>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Visita</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domiciliaria</w:t>
            </w:r>
            <w:proofErr w:type="spellEnd"/>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2-3 horas</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3"/>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2-3 horas NNA/</w:t>
            </w:r>
            <w:proofErr w:type="spellStart"/>
            <w:r w:rsidRPr="00195EEB">
              <w:rPr>
                <w:rFonts w:asciiTheme="minorHAnsi" w:eastAsia="Arial" w:hAnsiTheme="minorHAnsi" w:cs="Arial"/>
                <w:color w:val="575756"/>
                <w:sz w:val="18"/>
                <w:szCs w:val="18"/>
              </w:rPr>
              <w:t>familia</w:t>
            </w:r>
            <w:proofErr w:type="spellEnd"/>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T. social</w:t>
            </w:r>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3"/>
              <w:jc w:val="left"/>
              <w:rPr>
                <w:rFonts w:asciiTheme="minorHAnsi" w:eastAsia="Arial" w:hAnsiTheme="minorHAnsi" w:cs="Arial"/>
                <w:color w:val="575756"/>
                <w:sz w:val="18"/>
                <w:szCs w:val="18"/>
                <w:lang w:val="es-CL"/>
              </w:rPr>
            </w:pPr>
            <w:r w:rsidRPr="00195EEB">
              <w:rPr>
                <w:rFonts w:asciiTheme="minorHAnsi" w:eastAsia="Arial" w:hAnsiTheme="minorHAnsi" w:cs="Arial"/>
                <w:color w:val="575756"/>
                <w:sz w:val="18"/>
                <w:szCs w:val="18"/>
                <w:lang w:val="es-CL"/>
              </w:rPr>
              <w:t>Emisiones informes en contexto del Tribunal de Familia</w:t>
            </w:r>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3-5 horas</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3"/>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3-5 horas/</w:t>
            </w:r>
            <w:proofErr w:type="spellStart"/>
            <w:r w:rsidRPr="00195EEB">
              <w:rPr>
                <w:rFonts w:asciiTheme="minorHAnsi" w:eastAsia="Arial" w:hAnsiTheme="minorHAnsi" w:cs="Arial"/>
                <w:color w:val="575756"/>
                <w:sz w:val="18"/>
                <w:szCs w:val="18"/>
              </w:rPr>
              <w:t>informe-paciente</w:t>
            </w:r>
            <w:proofErr w:type="spellEnd"/>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T. social</w:t>
            </w:r>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3"/>
              <w:jc w:val="left"/>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Contacto</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telefónico</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seguimiento</w:t>
            </w:r>
            <w:proofErr w:type="spellEnd"/>
            <w:r w:rsidRPr="00195EEB">
              <w:rPr>
                <w:rFonts w:asciiTheme="minorHAnsi" w:eastAsia="Arial" w:hAnsiTheme="minorHAnsi" w:cs="Arial"/>
                <w:color w:val="575756"/>
                <w:sz w:val="18"/>
                <w:szCs w:val="18"/>
              </w:rPr>
              <w:t>)</w:t>
            </w:r>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30 min</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3"/>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2 </w:t>
            </w:r>
            <w:proofErr w:type="spellStart"/>
            <w:r w:rsidRPr="00195EEB">
              <w:rPr>
                <w:rFonts w:asciiTheme="minorHAnsi" w:eastAsia="Arial" w:hAnsiTheme="minorHAnsi" w:cs="Arial"/>
                <w:color w:val="575756"/>
                <w:sz w:val="18"/>
                <w:szCs w:val="18"/>
              </w:rPr>
              <w:t>pacientes</w:t>
            </w:r>
            <w:proofErr w:type="spellEnd"/>
            <w:r w:rsidRPr="00195EEB">
              <w:rPr>
                <w:rFonts w:asciiTheme="minorHAnsi" w:eastAsia="Arial" w:hAnsiTheme="minorHAnsi" w:cs="Arial"/>
                <w:color w:val="575756"/>
                <w:sz w:val="18"/>
                <w:szCs w:val="18"/>
              </w:rPr>
              <w:t>/hora</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T. social</w:t>
            </w:r>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3"/>
              <w:jc w:val="left"/>
              <w:rPr>
                <w:rFonts w:asciiTheme="minorHAnsi" w:eastAsia="Arial" w:hAnsiTheme="minorHAnsi" w:cs="Arial"/>
                <w:color w:val="575756"/>
                <w:sz w:val="18"/>
                <w:szCs w:val="18"/>
                <w:lang w:val="es-CL"/>
              </w:rPr>
            </w:pPr>
            <w:r w:rsidRPr="00195EEB">
              <w:rPr>
                <w:rFonts w:asciiTheme="minorHAnsi" w:eastAsia="Arial" w:hAnsiTheme="minorHAnsi" w:cs="Arial"/>
                <w:color w:val="575756"/>
                <w:sz w:val="18"/>
                <w:szCs w:val="18"/>
                <w:lang w:val="es-CL"/>
              </w:rPr>
              <w:t>Apoyo Socio-jurídico al usuario</w:t>
            </w:r>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45 – 60 min</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3"/>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1 a 1 ½ </w:t>
            </w:r>
            <w:proofErr w:type="spellStart"/>
            <w:r w:rsidRPr="00195EEB">
              <w:rPr>
                <w:rFonts w:asciiTheme="minorHAnsi" w:eastAsia="Arial" w:hAnsiTheme="minorHAnsi" w:cs="Arial"/>
                <w:color w:val="575756"/>
                <w:sz w:val="18"/>
                <w:szCs w:val="18"/>
              </w:rPr>
              <w:t>pacientes</w:t>
            </w:r>
            <w:proofErr w:type="spellEnd"/>
            <w:r w:rsidRPr="00195EEB">
              <w:rPr>
                <w:rFonts w:asciiTheme="minorHAnsi" w:eastAsia="Arial" w:hAnsiTheme="minorHAnsi" w:cs="Arial"/>
                <w:color w:val="575756"/>
                <w:sz w:val="18"/>
                <w:szCs w:val="18"/>
              </w:rPr>
              <w:t>/hora</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T. social</w:t>
            </w:r>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3"/>
              <w:jc w:val="left"/>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Comité</w:t>
            </w:r>
            <w:proofErr w:type="spellEnd"/>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4 horas/</w:t>
            </w:r>
            <w:proofErr w:type="spellStart"/>
            <w:r w:rsidRPr="00195EEB">
              <w:rPr>
                <w:rFonts w:asciiTheme="minorHAnsi" w:eastAsia="Arial" w:hAnsiTheme="minorHAnsi" w:cs="Arial"/>
                <w:color w:val="575756"/>
                <w:sz w:val="18"/>
                <w:szCs w:val="18"/>
              </w:rPr>
              <w:t>semanales</w:t>
            </w:r>
            <w:proofErr w:type="spellEnd"/>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3"/>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2 a 4 </w:t>
            </w:r>
            <w:proofErr w:type="spellStart"/>
            <w:r w:rsidRPr="00195EEB">
              <w:rPr>
                <w:rFonts w:asciiTheme="minorHAnsi" w:eastAsia="Arial" w:hAnsiTheme="minorHAnsi" w:cs="Arial"/>
                <w:color w:val="575756"/>
                <w:sz w:val="18"/>
                <w:szCs w:val="18"/>
              </w:rPr>
              <w:t>pacientes</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por</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sesión</w:t>
            </w:r>
            <w:proofErr w:type="spellEnd"/>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T. social</w:t>
            </w:r>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Evaluación</w:t>
            </w:r>
            <w:proofErr w:type="spellEnd"/>
            <w:r w:rsidRPr="00195EEB">
              <w:rPr>
                <w:rFonts w:asciiTheme="minorHAnsi" w:eastAsia="Arial" w:hAnsiTheme="minorHAnsi" w:cs="Arial"/>
                <w:color w:val="575756"/>
                <w:sz w:val="18"/>
                <w:szCs w:val="18"/>
              </w:rPr>
              <w:t xml:space="preserve"> en </w:t>
            </w:r>
            <w:proofErr w:type="spellStart"/>
            <w:r w:rsidRPr="00195EEB">
              <w:rPr>
                <w:rFonts w:asciiTheme="minorHAnsi" w:eastAsia="Arial" w:hAnsiTheme="minorHAnsi" w:cs="Arial"/>
                <w:color w:val="575756"/>
                <w:sz w:val="18"/>
                <w:szCs w:val="18"/>
              </w:rPr>
              <w:t>domicilio</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urbano</w:t>
            </w:r>
            <w:proofErr w:type="spellEnd"/>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1-1 ½ hora</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1 </w:t>
            </w:r>
            <w:proofErr w:type="spellStart"/>
            <w:r w:rsidRPr="00195EEB">
              <w:rPr>
                <w:rFonts w:asciiTheme="minorHAnsi" w:eastAsia="Arial" w:hAnsiTheme="minorHAnsi" w:cs="Arial"/>
                <w:color w:val="575756"/>
                <w:sz w:val="18"/>
                <w:szCs w:val="18"/>
              </w:rPr>
              <w:t>paciente-familia</w:t>
            </w:r>
            <w:proofErr w:type="spellEnd"/>
            <w:r w:rsidRPr="00195EEB">
              <w:rPr>
                <w:rFonts w:asciiTheme="minorHAnsi" w:eastAsia="Arial" w:hAnsiTheme="minorHAnsi" w:cs="Arial"/>
                <w:color w:val="575756"/>
                <w:sz w:val="18"/>
                <w:szCs w:val="18"/>
              </w:rPr>
              <w:t>/hora</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T. social</w:t>
            </w:r>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Evaluación</w:t>
            </w:r>
            <w:proofErr w:type="spellEnd"/>
            <w:r w:rsidRPr="00195EEB">
              <w:rPr>
                <w:rFonts w:asciiTheme="minorHAnsi" w:eastAsia="Arial" w:hAnsiTheme="minorHAnsi" w:cs="Arial"/>
                <w:color w:val="575756"/>
                <w:sz w:val="18"/>
                <w:szCs w:val="18"/>
              </w:rPr>
              <w:t xml:space="preserve"> en </w:t>
            </w:r>
            <w:proofErr w:type="spellStart"/>
            <w:r w:rsidRPr="00195EEB">
              <w:rPr>
                <w:rFonts w:asciiTheme="minorHAnsi" w:eastAsia="Arial" w:hAnsiTheme="minorHAnsi" w:cs="Arial"/>
                <w:color w:val="575756"/>
                <w:sz w:val="18"/>
                <w:szCs w:val="18"/>
              </w:rPr>
              <w:t>domicilio</w:t>
            </w:r>
            <w:proofErr w:type="spellEnd"/>
            <w:r w:rsidRPr="00195EEB">
              <w:rPr>
                <w:rFonts w:asciiTheme="minorHAnsi" w:eastAsia="Arial" w:hAnsiTheme="minorHAnsi" w:cs="Arial"/>
                <w:color w:val="575756"/>
                <w:sz w:val="18"/>
                <w:szCs w:val="18"/>
              </w:rPr>
              <w:t xml:space="preserve"> Rural</w:t>
            </w:r>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2-3 horas</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1 </w:t>
            </w:r>
            <w:proofErr w:type="spellStart"/>
            <w:r w:rsidRPr="00195EEB">
              <w:rPr>
                <w:rFonts w:asciiTheme="minorHAnsi" w:eastAsia="Arial" w:hAnsiTheme="minorHAnsi" w:cs="Arial"/>
                <w:color w:val="575756"/>
                <w:sz w:val="18"/>
                <w:szCs w:val="18"/>
              </w:rPr>
              <w:t>paciente-familia</w:t>
            </w:r>
            <w:proofErr w:type="spellEnd"/>
            <w:r w:rsidRPr="00195EEB">
              <w:rPr>
                <w:rFonts w:asciiTheme="minorHAnsi" w:eastAsia="Arial" w:hAnsiTheme="minorHAnsi" w:cs="Arial"/>
                <w:color w:val="575756"/>
                <w:sz w:val="18"/>
                <w:szCs w:val="18"/>
              </w:rPr>
              <w:t>/hora</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T. social</w:t>
            </w:r>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Telemedicina</w:t>
            </w:r>
            <w:proofErr w:type="spellEnd"/>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30 min</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2 </w:t>
            </w:r>
            <w:proofErr w:type="spellStart"/>
            <w:r w:rsidRPr="00195EEB">
              <w:rPr>
                <w:rFonts w:asciiTheme="minorHAnsi" w:eastAsia="Arial" w:hAnsiTheme="minorHAnsi" w:cs="Arial"/>
                <w:color w:val="575756"/>
                <w:sz w:val="18"/>
                <w:szCs w:val="18"/>
              </w:rPr>
              <w:t>paciente</w:t>
            </w:r>
            <w:proofErr w:type="spellEnd"/>
            <w:r w:rsidRPr="00195EEB">
              <w:rPr>
                <w:rFonts w:asciiTheme="minorHAnsi" w:eastAsia="Arial" w:hAnsiTheme="minorHAnsi" w:cs="Arial"/>
                <w:color w:val="575756"/>
                <w:sz w:val="18"/>
                <w:szCs w:val="18"/>
              </w:rPr>
              <w:t>/hora</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T. social</w:t>
            </w:r>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Atención</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ambulatoria</w:t>
            </w:r>
            <w:proofErr w:type="spellEnd"/>
            <w:r w:rsidRPr="00195EEB">
              <w:rPr>
                <w:rFonts w:asciiTheme="minorHAnsi" w:eastAsia="Arial" w:hAnsiTheme="minorHAnsi" w:cs="Arial"/>
                <w:color w:val="575756"/>
                <w:sz w:val="18"/>
                <w:szCs w:val="18"/>
              </w:rPr>
              <w:t xml:space="preserve"> a </w:t>
            </w:r>
            <w:proofErr w:type="spellStart"/>
            <w:r w:rsidRPr="00195EEB">
              <w:rPr>
                <w:rFonts w:asciiTheme="minorHAnsi" w:eastAsia="Arial" w:hAnsiTheme="minorHAnsi" w:cs="Arial"/>
                <w:color w:val="575756"/>
                <w:sz w:val="18"/>
                <w:szCs w:val="18"/>
              </w:rPr>
              <w:t>familiares</w:t>
            </w:r>
            <w:proofErr w:type="spellEnd"/>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30 min</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1 </w:t>
            </w:r>
            <w:proofErr w:type="spellStart"/>
            <w:r w:rsidRPr="00195EEB">
              <w:rPr>
                <w:rFonts w:asciiTheme="minorHAnsi" w:eastAsia="Arial" w:hAnsiTheme="minorHAnsi" w:cs="Arial"/>
                <w:color w:val="575756"/>
                <w:sz w:val="18"/>
                <w:szCs w:val="18"/>
              </w:rPr>
              <w:t>paciente-familia</w:t>
            </w:r>
            <w:proofErr w:type="spellEnd"/>
            <w:r w:rsidRPr="00195EEB">
              <w:rPr>
                <w:rFonts w:asciiTheme="minorHAnsi" w:eastAsia="Arial" w:hAnsiTheme="minorHAnsi" w:cs="Arial"/>
                <w:color w:val="575756"/>
                <w:sz w:val="18"/>
                <w:szCs w:val="18"/>
              </w:rPr>
              <w:t>/hora</w:t>
            </w:r>
          </w:p>
        </w:tc>
      </w:tr>
      <w:tr w:rsidR="00855438" w:rsidRPr="00195EEB">
        <w:trPr>
          <w:trHeight w:val="20"/>
          <w:jc w:val="center"/>
        </w:trPr>
        <w:tc>
          <w:tcPr>
            <w:tcW w:w="212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3"/>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T. social</w:t>
            </w:r>
          </w:p>
        </w:tc>
        <w:tc>
          <w:tcPr>
            <w:tcW w:w="3823"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proofErr w:type="spellStart"/>
            <w:r w:rsidRPr="00195EEB">
              <w:rPr>
                <w:rFonts w:asciiTheme="minorHAnsi" w:eastAsia="Arial" w:hAnsiTheme="minorHAnsi" w:cs="Arial"/>
                <w:color w:val="575756"/>
                <w:sz w:val="18"/>
                <w:szCs w:val="18"/>
              </w:rPr>
              <w:t>Educación</w:t>
            </w:r>
            <w:proofErr w:type="spellEnd"/>
            <w:r w:rsidRPr="00195EEB">
              <w:rPr>
                <w:rFonts w:asciiTheme="minorHAnsi" w:eastAsia="Arial" w:hAnsiTheme="minorHAnsi" w:cs="Arial"/>
                <w:color w:val="575756"/>
                <w:sz w:val="18"/>
                <w:szCs w:val="18"/>
              </w:rPr>
              <w:t xml:space="preserve"> Socio-</w:t>
            </w:r>
            <w:proofErr w:type="spellStart"/>
            <w:r w:rsidRPr="00195EEB">
              <w:rPr>
                <w:rFonts w:asciiTheme="minorHAnsi" w:eastAsia="Arial" w:hAnsiTheme="minorHAnsi" w:cs="Arial"/>
                <w:color w:val="575756"/>
                <w:sz w:val="18"/>
                <w:szCs w:val="18"/>
              </w:rPr>
              <w:t>Jurídico</w:t>
            </w:r>
            <w:proofErr w:type="spellEnd"/>
          </w:p>
        </w:tc>
        <w:tc>
          <w:tcPr>
            <w:tcW w:w="1847"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45 – 60 min</w:t>
            </w:r>
          </w:p>
        </w:tc>
        <w:tc>
          <w:tcPr>
            <w:tcW w:w="2278" w:type="dxa"/>
            <w:tcBorders>
              <w:top w:val="single" w:sz="4" w:space="0" w:color="2E7CC0"/>
              <w:left w:val="single" w:sz="4" w:space="0" w:color="2E7CC0"/>
              <w:bottom w:val="single" w:sz="4" w:space="0" w:color="2E7CC0"/>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1 </w:t>
            </w:r>
            <w:proofErr w:type="spellStart"/>
            <w:r w:rsidRPr="00195EEB">
              <w:rPr>
                <w:rFonts w:asciiTheme="minorHAnsi" w:eastAsia="Arial" w:hAnsiTheme="minorHAnsi" w:cs="Arial"/>
                <w:color w:val="575756"/>
                <w:sz w:val="18"/>
                <w:szCs w:val="18"/>
              </w:rPr>
              <w:t>paciente-familia</w:t>
            </w:r>
            <w:proofErr w:type="spellEnd"/>
            <w:r w:rsidRPr="00195EEB">
              <w:rPr>
                <w:rFonts w:asciiTheme="minorHAnsi" w:eastAsia="Arial" w:hAnsiTheme="minorHAnsi" w:cs="Arial"/>
                <w:color w:val="575756"/>
                <w:sz w:val="18"/>
                <w:szCs w:val="18"/>
              </w:rPr>
              <w:t>/hora</w:t>
            </w:r>
          </w:p>
        </w:tc>
      </w:tr>
    </w:tbl>
    <w:p w:rsidR="00855438" w:rsidRPr="00195EEB" w:rsidRDefault="00855438">
      <w:pPr>
        <w:spacing w:before="0" w:line="240" w:lineRule="auto"/>
        <w:rPr>
          <w:rFonts w:asciiTheme="minorHAnsi" w:eastAsia="Arial" w:hAnsiTheme="minorHAnsi" w:cs="Arial"/>
        </w:rPr>
      </w:pPr>
    </w:p>
    <w:p w:rsidR="00855438" w:rsidRPr="00195EEB" w:rsidRDefault="00195EEB">
      <w:pPr>
        <w:spacing w:before="0" w:line="240" w:lineRule="auto"/>
        <w:rPr>
          <w:rFonts w:asciiTheme="minorHAnsi" w:eastAsia="Arial" w:hAnsiTheme="minorHAnsi" w:cs="Arial"/>
          <w:i/>
        </w:rPr>
      </w:pPr>
      <w:r w:rsidRPr="00195EEB">
        <w:rPr>
          <w:rFonts w:asciiTheme="minorHAnsi" w:eastAsia="Arial" w:hAnsiTheme="minorHAnsi" w:cs="Arial"/>
        </w:rPr>
        <w:lastRenderedPageBreak/>
        <w:t>En materia de actividades grupales, se configura como comité, tomando la definición del documento de Orientaciones  para la planificación y programación en Red (</w:t>
      </w:r>
      <w:hyperlink r:id="rId7">
        <w:r w:rsidRPr="00195EEB">
          <w:rPr>
            <w:rFonts w:asciiTheme="minorHAnsi" w:eastAsia="Arial" w:hAnsiTheme="minorHAnsi" w:cs="Arial"/>
            <w:color w:val="0563C1"/>
            <w:u w:val="single"/>
          </w:rPr>
          <w:t>https://www.minsal.cl/orientaciones-para-la-planificacion-y-programacion-en-red</w:t>
        </w:r>
      </w:hyperlink>
      <w:r w:rsidRPr="00195EEB">
        <w:rPr>
          <w:rFonts w:asciiTheme="minorHAnsi" w:eastAsia="Arial" w:hAnsiTheme="minorHAnsi" w:cs="Arial"/>
        </w:rPr>
        <w:t>) en su anexo N°15, 42. De comité: “</w:t>
      </w:r>
      <w:r w:rsidRPr="00195EEB">
        <w:rPr>
          <w:rFonts w:asciiTheme="minorHAnsi" w:eastAsia="Arial" w:hAnsiTheme="minorHAnsi" w:cs="Arial"/>
          <w:i/>
        </w:rPr>
        <w:t>Corresponde a l la reunión entre distintos p</w:t>
      </w:r>
      <w:r w:rsidRPr="00195EEB">
        <w:rPr>
          <w:rFonts w:asciiTheme="minorHAnsi" w:eastAsia="Arial" w:hAnsiTheme="minorHAnsi" w:cs="Arial"/>
          <w:i/>
        </w:rPr>
        <w:t>rofesionales de uno o más equipos que evalúan antecedentes clínicos de una persona usuaria y en conjunto plantean el Plan de Cuidados Integrales según protocolos y guías clínicas vigentes. Facilita la toma de decisiones en situaciones complejas al reunirlo</w:t>
      </w:r>
      <w:r w:rsidRPr="00195EEB">
        <w:rPr>
          <w:rFonts w:asciiTheme="minorHAnsi" w:eastAsia="Arial" w:hAnsiTheme="minorHAnsi" w:cs="Arial"/>
          <w:i/>
        </w:rPr>
        <w:t xml:space="preserve">s profesionales claves de un problema de salud determinado. La decisión queda registrada en el documento de Resolución de Comité. Esta reunión se realiza entre profesional es de una misma y/o diferente especialidad. Se puede realizar de forma presencial o </w:t>
      </w:r>
      <w:r w:rsidRPr="00195EEB">
        <w:rPr>
          <w:rFonts w:asciiTheme="minorHAnsi" w:eastAsia="Arial" w:hAnsiTheme="minorHAnsi" w:cs="Arial"/>
          <w:i/>
        </w:rPr>
        <w:t>a distancia.</w:t>
      </w:r>
    </w:p>
    <w:p w:rsidR="00855438" w:rsidRPr="00195EEB" w:rsidRDefault="00855438">
      <w:pPr>
        <w:spacing w:before="0" w:line="240" w:lineRule="auto"/>
        <w:rPr>
          <w:rFonts w:asciiTheme="minorHAnsi" w:eastAsia="Arial" w:hAnsiTheme="minorHAnsi" w:cs="Arial"/>
          <w:i/>
        </w:rPr>
      </w:pPr>
    </w:p>
    <w:p w:rsidR="00855438" w:rsidRPr="00195EEB" w:rsidRDefault="00195EEB">
      <w:pPr>
        <w:spacing w:before="0" w:line="240" w:lineRule="auto"/>
        <w:ind w:firstLine="360"/>
        <w:rPr>
          <w:rFonts w:asciiTheme="minorHAnsi" w:eastAsia="Arial" w:hAnsiTheme="minorHAnsi" w:cs="Arial"/>
          <w:i/>
        </w:rPr>
      </w:pPr>
      <w:r w:rsidRPr="00195EEB">
        <w:rPr>
          <w:rFonts w:asciiTheme="minorHAnsi" w:eastAsia="Arial" w:hAnsiTheme="minorHAnsi" w:cs="Arial"/>
          <w:b/>
        </w:rPr>
        <w:t>El Comité Clínico de Protección de NNA:</w:t>
      </w:r>
      <w:r w:rsidRPr="00195EEB">
        <w:rPr>
          <w:rFonts w:asciiTheme="minorHAnsi" w:eastAsia="Arial" w:hAnsiTheme="minorHAnsi" w:cs="Arial"/>
        </w:rPr>
        <w:t xml:space="preserve"> Corresponderá a la reunión entre distintos profesionales de uno o más equipos que evalúan los antecedentes tanto clínicos como psicosociales entre otros, para entregar un Plan de Cuidados y protección integral según los protocolos vigentes en materia del </w:t>
      </w:r>
      <w:r w:rsidRPr="00195EEB">
        <w:rPr>
          <w:rFonts w:asciiTheme="minorHAnsi" w:eastAsia="Arial" w:hAnsiTheme="minorHAnsi" w:cs="Arial"/>
        </w:rPr>
        <w:t>abordaje de casos de vulneración de niñas, niños y adolescentes. La decisión quedará registrada en el documento de acta o resolución del comité. Esta reunión se realiza entre profesional es de una misma y/o diferente especialidad. Se puede realizar de form</w:t>
      </w:r>
      <w:r w:rsidRPr="00195EEB">
        <w:rPr>
          <w:rFonts w:asciiTheme="minorHAnsi" w:eastAsia="Arial" w:hAnsiTheme="minorHAnsi" w:cs="Arial"/>
        </w:rPr>
        <w:t>a presencial o a distancia.</w:t>
      </w:r>
    </w:p>
    <w:p w:rsidR="00855438" w:rsidRPr="00195EEB" w:rsidRDefault="00855438">
      <w:pPr>
        <w:spacing w:before="0" w:line="240" w:lineRule="auto"/>
        <w:rPr>
          <w:rFonts w:asciiTheme="minorHAnsi" w:eastAsia="Arial" w:hAnsiTheme="minorHAnsi" w:cs="Arial"/>
        </w:rPr>
      </w:pPr>
    </w:p>
    <w:p w:rsidR="00855438" w:rsidRPr="00195EEB" w:rsidRDefault="00195EEB">
      <w:pPr>
        <w:spacing w:before="0" w:line="240" w:lineRule="auto"/>
        <w:rPr>
          <w:rFonts w:asciiTheme="minorHAnsi" w:eastAsia="Arial" w:hAnsiTheme="minorHAnsi" w:cs="Arial"/>
          <w:b/>
        </w:rPr>
      </w:pPr>
      <w:r w:rsidRPr="00195EEB">
        <w:rPr>
          <w:rFonts w:asciiTheme="minorHAnsi" w:eastAsia="Arial" w:hAnsiTheme="minorHAnsi" w:cs="Arial"/>
          <w:b/>
        </w:rPr>
        <w:t>Participación de otros profesionales para conformación de Comité de Protección de NNA:</w:t>
      </w:r>
    </w:p>
    <w:p w:rsidR="00855438" w:rsidRPr="00195EEB" w:rsidRDefault="00855438">
      <w:pPr>
        <w:spacing w:before="0" w:line="240" w:lineRule="auto"/>
        <w:rPr>
          <w:rFonts w:asciiTheme="minorHAnsi" w:eastAsia="Arial" w:hAnsiTheme="minorHAnsi" w:cs="Arial"/>
        </w:rPr>
      </w:pPr>
    </w:p>
    <w:p w:rsidR="00855438" w:rsidRPr="00195EEB" w:rsidRDefault="00195EEB">
      <w:pPr>
        <w:numPr>
          <w:ilvl w:val="0"/>
          <w:numId w:val="1"/>
        </w:numPr>
        <w:pBdr>
          <w:top w:val="nil"/>
          <w:left w:val="nil"/>
          <w:bottom w:val="nil"/>
          <w:right w:val="nil"/>
          <w:between w:val="nil"/>
        </w:pBdr>
        <w:spacing w:before="0" w:line="240" w:lineRule="auto"/>
        <w:rPr>
          <w:rFonts w:asciiTheme="minorHAnsi" w:eastAsia="Arial" w:hAnsiTheme="minorHAnsi" w:cs="Arial"/>
          <w:color w:val="767171"/>
          <w:szCs w:val="22"/>
        </w:rPr>
      </w:pPr>
      <w:r w:rsidRPr="00195EEB">
        <w:rPr>
          <w:rFonts w:asciiTheme="minorHAnsi" w:eastAsia="Arial" w:hAnsiTheme="minorHAnsi" w:cs="Arial"/>
          <w:color w:val="767171"/>
          <w:szCs w:val="22"/>
        </w:rPr>
        <w:t>Médico con especialidad en Pediatría.</w:t>
      </w:r>
    </w:p>
    <w:p w:rsidR="00855438" w:rsidRPr="00195EEB" w:rsidRDefault="00195EEB">
      <w:pPr>
        <w:numPr>
          <w:ilvl w:val="0"/>
          <w:numId w:val="1"/>
        </w:numPr>
        <w:pBdr>
          <w:top w:val="nil"/>
          <w:left w:val="nil"/>
          <w:bottom w:val="nil"/>
          <w:right w:val="nil"/>
          <w:between w:val="nil"/>
        </w:pBdr>
        <w:spacing w:before="0" w:line="240" w:lineRule="auto"/>
        <w:rPr>
          <w:rFonts w:asciiTheme="minorHAnsi" w:eastAsia="Arial" w:hAnsiTheme="minorHAnsi" w:cs="Arial"/>
          <w:color w:val="767171"/>
          <w:szCs w:val="22"/>
        </w:rPr>
      </w:pPr>
      <w:r w:rsidRPr="00195EEB">
        <w:rPr>
          <w:rFonts w:asciiTheme="minorHAnsi" w:eastAsia="Arial" w:hAnsiTheme="minorHAnsi" w:cs="Arial"/>
          <w:color w:val="767171"/>
          <w:szCs w:val="22"/>
        </w:rPr>
        <w:t xml:space="preserve">Médico con especialidad en Ginecología y Obstetricia con subespecialidad en Ginecología Pediátrica y </w:t>
      </w:r>
      <w:r w:rsidRPr="00195EEB">
        <w:rPr>
          <w:rFonts w:asciiTheme="minorHAnsi" w:eastAsia="Arial" w:hAnsiTheme="minorHAnsi" w:cs="Arial"/>
          <w:color w:val="767171"/>
          <w:szCs w:val="22"/>
        </w:rPr>
        <w:t>adolescencia.</w:t>
      </w:r>
    </w:p>
    <w:p w:rsidR="00855438" w:rsidRPr="00195EEB" w:rsidRDefault="00195EEB">
      <w:pPr>
        <w:numPr>
          <w:ilvl w:val="0"/>
          <w:numId w:val="1"/>
        </w:numPr>
        <w:pBdr>
          <w:top w:val="nil"/>
          <w:left w:val="nil"/>
          <w:bottom w:val="nil"/>
          <w:right w:val="nil"/>
          <w:between w:val="nil"/>
        </w:pBdr>
        <w:spacing w:before="0" w:line="240" w:lineRule="auto"/>
        <w:rPr>
          <w:rFonts w:asciiTheme="minorHAnsi" w:eastAsia="Arial" w:hAnsiTheme="minorHAnsi" w:cs="Arial"/>
          <w:color w:val="767171"/>
          <w:szCs w:val="22"/>
        </w:rPr>
      </w:pPr>
      <w:r w:rsidRPr="00195EEB">
        <w:rPr>
          <w:rFonts w:asciiTheme="minorHAnsi" w:eastAsia="Arial" w:hAnsiTheme="minorHAnsi" w:cs="Arial"/>
          <w:color w:val="767171"/>
          <w:szCs w:val="22"/>
        </w:rPr>
        <w:t>Médico con especialidad en Ginecología y Obstetricia que atiendan niñas y adolescentes*.</w:t>
      </w:r>
    </w:p>
    <w:p w:rsidR="00855438" w:rsidRPr="00195EEB" w:rsidRDefault="00195EEB">
      <w:pPr>
        <w:numPr>
          <w:ilvl w:val="0"/>
          <w:numId w:val="1"/>
        </w:numPr>
        <w:pBdr>
          <w:top w:val="nil"/>
          <w:left w:val="nil"/>
          <w:bottom w:val="nil"/>
          <w:right w:val="nil"/>
          <w:between w:val="nil"/>
        </w:pBdr>
        <w:spacing w:before="0" w:line="240" w:lineRule="auto"/>
        <w:rPr>
          <w:rFonts w:asciiTheme="minorHAnsi" w:eastAsia="Arial" w:hAnsiTheme="minorHAnsi" w:cs="Arial"/>
          <w:color w:val="767171"/>
          <w:szCs w:val="22"/>
        </w:rPr>
      </w:pPr>
      <w:r w:rsidRPr="00195EEB">
        <w:rPr>
          <w:rFonts w:asciiTheme="minorHAnsi" w:eastAsia="Arial" w:hAnsiTheme="minorHAnsi" w:cs="Arial"/>
          <w:color w:val="767171"/>
          <w:szCs w:val="22"/>
        </w:rPr>
        <w:t>Médicos con especialidad en Traumatólogo.</w:t>
      </w:r>
    </w:p>
    <w:p w:rsidR="00855438" w:rsidRPr="00195EEB" w:rsidRDefault="00195EEB">
      <w:pPr>
        <w:numPr>
          <w:ilvl w:val="0"/>
          <w:numId w:val="1"/>
        </w:numPr>
        <w:pBdr>
          <w:top w:val="nil"/>
          <w:left w:val="nil"/>
          <w:bottom w:val="nil"/>
          <w:right w:val="nil"/>
          <w:between w:val="nil"/>
        </w:pBdr>
        <w:spacing w:before="0" w:line="240" w:lineRule="auto"/>
        <w:rPr>
          <w:rFonts w:asciiTheme="minorHAnsi" w:eastAsia="Arial" w:hAnsiTheme="minorHAnsi" w:cs="Arial"/>
          <w:color w:val="767171"/>
          <w:szCs w:val="22"/>
        </w:rPr>
      </w:pPr>
      <w:r w:rsidRPr="00195EEB">
        <w:rPr>
          <w:rFonts w:asciiTheme="minorHAnsi" w:eastAsia="Arial" w:hAnsiTheme="minorHAnsi" w:cs="Arial"/>
          <w:color w:val="767171"/>
          <w:szCs w:val="22"/>
        </w:rPr>
        <w:t>Médico Cirujano Infantil.</w:t>
      </w:r>
    </w:p>
    <w:p w:rsidR="00855438" w:rsidRPr="00195EEB" w:rsidRDefault="00195EEB">
      <w:pPr>
        <w:numPr>
          <w:ilvl w:val="0"/>
          <w:numId w:val="1"/>
        </w:numPr>
        <w:pBdr>
          <w:top w:val="nil"/>
          <w:left w:val="nil"/>
          <w:bottom w:val="nil"/>
          <w:right w:val="nil"/>
          <w:between w:val="nil"/>
        </w:pBdr>
        <w:spacing w:before="0" w:line="240" w:lineRule="auto"/>
        <w:rPr>
          <w:rFonts w:asciiTheme="minorHAnsi" w:eastAsia="Arial" w:hAnsiTheme="minorHAnsi" w:cs="Arial"/>
          <w:color w:val="767171"/>
          <w:szCs w:val="22"/>
        </w:rPr>
      </w:pPr>
      <w:r w:rsidRPr="00195EEB">
        <w:rPr>
          <w:rFonts w:asciiTheme="minorHAnsi" w:eastAsia="Arial" w:hAnsiTheme="minorHAnsi" w:cs="Arial"/>
          <w:color w:val="767171"/>
          <w:szCs w:val="22"/>
        </w:rPr>
        <w:t xml:space="preserve">Médico con especialidad en Dermatología y/o </w:t>
      </w:r>
      <w:proofErr w:type="spellStart"/>
      <w:r w:rsidRPr="00195EEB">
        <w:rPr>
          <w:rFonts w:asciiTheme="minorHAnsi" w:eastAsia="Arial" w:hAnsiTheme="minorHAnsi" w:cs="Arial"/>
          <w:color w:val="767171"/>
          <w:szCs w:val="22"/>
        </w:rPr>
        <w:t>Infectología</w:t>
      </w:r>
      <w:proofErr w:type="spellEnd"/>
      <w:r w:rsidRPr="00195EEB">
        <w:rPr>
          <w:rFonts w:asciiTheme="minorHAnsi" w:eastAsia="Arial" w:hAnsiTheme="minorHAnsi" w:cs="Arial"/>
          <w:color w:val="767171"/>
          <w:szCs w:val="22"/>
        </w:rPr>
        <w:t>.</w:t>
      </w:r>
    </w:p>
    <w:p w:rsidR="00855438" w:rsidRPr="00195EEB" w:rsidRDefault="00195EEB">
      <w:pPr>
        <w:numPr>
          <w:ilvl w:val="0"/>
          <w:numId w:val="1"/>
        </w:numPr>
        <w:pBdr>
          <w:top w:val="nil"/>
          <w:left w:val="nil"/>
          <w:bottom w:val="nil"/>
          <w:right w:val="nil"/>
          <w:between w:val="nil"/>
        </w:pBdr>
        <w:spacing w:before="0" w:line="240" w:lineRule="auto"/>
        <w:rPr>
          <w:rFonts w:asciiTheme="minorHAnsi" w:eastAsia="Arial" w:hAnsiTheme="minorHAnsi" w:cs="Arial"/>
          <w:color w:val="767171"/>
          <w:szCs w:val="22"/>
        </w:rPr>
      </w:pPr>
      <w:r w:rsidRPr="00195EEB">
        <w:rPr>
          <w:rFonts w:asciiTheme="minorHAnsi" w:eastAsia="Arial" w:hAnsiTheme="minorHAnsi" w:cs="Arial"/>
          <w:color w:val="767171"/>
          <w:szCs w:val="22"/>
        </w:rPr>
        <w:t xml:space="preserve">Médico con especialidad en </w:t>
      </w:r>
      <w:r w:rsidRPr="00195EEB">
        <w:rPr>
          <w:rFonts w:asciiTheme="minorHAnsi" w:eastAsia="Arial" w:hAnsiTheme="minorHAnsi" w:cs="Arial"/>
          <w:color w:val="767171"/>
          <w:szCs w:val="22"/>
        </w:rPr>
        <w:t>Urología</w:t>
      </w:r>
    </w:p>
    <w:p w:rsidR="00855438" w:rsidRPr="00195EEB" w:rsidRDefault="00195EEB">
      <w:pPr>
        <w:numPr>
          <w:ilvl w:val="0"/>
          <w:numId w:val="1"/>
        </w:numPr>
        <w:pBdr>
          <w:top w:val="nil"/>
          <w:left w:val="nil"/>
          <w:bottom w:val="nil"/>
          <w:right w:val="nil"/>
          <w:between w:val="nil"/>
        </w:pBdr>
        <w:spacing w:before="0" w:line="240" w:lineRule="auto"/>
        <w:rPr>
          <w:rFonts w:asciiTheme="minorHAnsi" w:eastAsia="Arial" w:hAnsiTheme="minorHAnsi" w:cs="Arial"/>
          <w:color w:val="767171"/>
          <w:szCs w:val="22"/>
        </w:rPr>
      </w:pPr>
      <w:r w:rsidRPr="00195EEB">
        <w:rPr>
          <w:rFonts w:asciiTheme="minorHAnsi" w:eastAsia="Arial" w:hAnsiTheme="minorHAnsi" w:cs="Arial"/>
          <w:color w:val="767171"/>
          <w:szCs w:val="22"/>
        </w:rPr>
        <w:t xml:space="preserve">Médico con especialidad en Psiquiatría </w:t>
      </w:r>
      <w:proofErr w:type="spellStart"/>
      <w:r w:rsidRPr="00195EEB">
        <w:rPr>
          <w:rFonts w:asciiTheme="minorHAnsi" w:eastAsia="Arial" w:hAnsiTheme="minorHAnsi" w:cs="Arial"/>
          <w:color w:val="767171"/>
          <w:szCs w:val="22"/>
        </w:rPr>
        <w:t>Infantoadolescente</w:t>
      </w:r>
      <w:proofErr w:type="spellEnd"/>
    </w:p>
    <w:p w:rsidR="00855438" w:rsidRPr="00195EEB" w:rsidRDefault="00855438">
      <w:pPr>
        <w:spacing w:before="0" w:line="240" w:lineRule="auto"/>
        <w:rPr>
          <w:rFonts w:asciiTheme="minorHAnsi" w:eastAsia="Arial" w:hAnsiTheme="minorHAnsi" w:cs="Arial"/>
        </w:rPr>
      </w:pPr>
    </w:p>
    <w:p w:rsidR="00855438" w:rsidRPr="00195EEB" w:rsidRDefault="00855438">
      <w:pPr>
        <w:spacing w:before="0" w:line="240" w:lineRule="auto"/>
        <w:rPr>
          <w:rFonts w:asciiTheme="minorHAnsi" w:eastAsia="Arial" w:hAnsiTheme="minorHAnsi" w:cs="Arial"/>
        </w:rPr>
      </w:pPr>
    </w:p>
    <w:tbl>
      <w:tblPr>
        <w:tblStyle w:val="a0"/>
        <w:tblW w:w="1023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119"/>
        <w:gridCol w:w="3234"/>
        <w:gridCol w:w="2303"/>
        <w:gridCol w:w="1582"/>
      </w:tblGrid>
      <w:tr w:rsidR="00855438" w:rsidRPr="00195EEB">
        <w:trPr>
          <w:trHeight w:val="365"/>
          <w:jc w:val="center"/>
        </w:trPr>
        <w:tc>
          <w:tcPr>
            <w:tcW w:w="3119" w:type="dxa"/>
            <w:tcBorders>
              <w:top w:val="nil"/>
              <w:left w:val="nil"/>
              <w:bottom w:val="nil"/>
            </w:tcBorders>
            <w:shd w:val="clear" w:color="auto" w:fill="2E7CC0"/>
            <w:vAlign w:val="center"/>
          </w:tcPr>
          <w:p w:rsidR="00855438" w:rsidRPr="00195EEB" w:rsidRDefault="00195EEB">
            <w:pPr>
              <w:pBdr>
                <w:top w:val="nil"/>
                <w:left w:val="nil"/>
                <w:bottom w:val="nil"/>
                <w:right w:val="nil"/>
                <w:between w:val="nil"/>
              </w:pBdr>
              <w:spacing w:before="0" w:line="240" w:lineRule="auto"/>
              <w:ind w:left="118"/>
              <w:jc w:val="center"/>
              <w:rPr>
                <w:rFonts w:asciiTheme="minorHAnsi" w:eastAsia="Arial" w:hAnsiTheme="minorHAnsi" w:cs="Arial"/>
                <w:b/>
                <w:color w:val="767171"/>
                <w:sz w:val="18"/>
                <w:szCs w:val="18"/>
              </w:rPr>
            </w:pPr>
            <w:r w:rsidRPr="00195EEB">
              <w:rPr>
                <w:rFonts w:asciiTheme="minorHAnsi" w:eastAsia="Arial" w:hAnsiTheme="minorHAnsi" w:cs="Arial"/>
                <w:b/>
                <w:color w:val="FFFFFF"/>
                <w:sz w:val="18"/>
                <w:szCs w:val="18"/>
              </w:rPr>
              <w:t>PROFESIONALES</w:t>
            </w:r>
          </w:p>
        </w:tc>
        <w:tc>
          <w:tcPr>
            <w:tcW w:w="3234" w:type="dxa"/>
            <w:tcBorders>
              <w:top w:val="nil"/>
              <w:bottom w:val="nil"/>
            </w:tcBorders>
            <w:shd w:val="clear" w:color="auto" w:fill="2E7CC0"/>
            <w:vAlign w:val="center"/>
          </w:tcPr>
          <w:p w:rsidR="00855438" w:rsidRPr="00195EEB" w:rsidRDefault="00195EEB">
            <w:pPr>
              <w:pBdr>
                <w:top w:val="nil"/>
                <w:left w:val="nil"/>
                <w:bottom w:val="nil"/>
                <w:right w:val="nil"/>
                <w:between w:val="nil"/>
              </w:pBdr>
              <w:spacing w:before="0" w:line="240" w:lineRule="auto"/>
              <w:ind w:left="113"/>
              <w:jc w:val="center"/>
              <w:rPr>
                <w:rFonts w:asciiTheme="minorHAnsi" w:eastAsia="Arial" w:hAnsiTheme="minorHAnsi" w:cs="Arial"/>
                <w:b/>
                <w:color w:val="767171"/>
                <w:sz w:val="18"/>
                <w:szCs w:val="18"/>
              </w:rPr>
            </w:pPr>
            <w:r w:rsidRPr="00195EEB">
              <w:rPr>
                <w:rFonts w:asciiTheme="minorHAnsi" w:eastAsia="Arial" w:hAnsiTheme="minorHAnsi" w:cs="Arial"/>
                <w:b/>
                <w:color w:val="FFFFFF"/>
                <w:sz w:val="18"/>
                <w:szCs w:val="18"/>
              </w:rPr>
              <w:t>PRESTACIÓN</w:t>
            </w:r>
          </w:p>
        </w:tc>
        <w:tc>
          <w:tcPr>
            <w:tcW w:w="2303" w:type="dxa"/>
            <w:tcBorders>
              <w:top w:val="nil"/>
              <w:bottom w:val="nil"/>
            </w:tcBorders>
            <w:shd w:val="clear" w:color="auto" w:fill="2E7CC0"/>
            <w:vAlign w:val="center"/>
          </w:tcPr>
          <w:p w:rsidR="00855438" w:rsidRPr="00195EEB" w:rsidRDefault="00195EEB">
            <w:pPr>
              <w:pBdr>
                <w:top w:val="nil"/>
                <w:left w:val="nil"/>
                <w:bottom w:val="nil"/>
                <w:right w:val="nil"/>
                <w:between w:val="nil"/>
              </w:pBdr>
              <w:spacing w:before="0" w:line="240" w:lineRule="auto"/>
              <w:ind w:left="51" w:right="89"/>
              <w:jc w:val="center"/>
              <w:rPr>
                <w:rFonts w:asciiTheme="minorHAnsi" w:eastAsia="Arial" w:hAnsiTheme="minorHAnsi" w:cs="Arial"/>
                <w:b/>
                <w:color w:val="FFFFFF"/>
                <w:sz w:val="18"/>
                <w:szCs w:val="18"/>
              </w:rPr>
            </w:pPr>
            <w:r w:rsidRPr="00195EEB">
              <w:rPr>
                <w:rFonts w:asciiTheme="minorHAnsi" w:eastAsia="Arial" w:hAnsiTheme="minorHAnsi" w:cs="Arial"/>
                <w:b/>
                <w:color w:val="FFFFFF"/>
                <w:sz w:val="18"/>
                <w:szCs w:val="18"/>
              </w:rPr>
              <w:t>DURACIÓN</w:t>
            </w:r>
          </w:p>
        </w:tc>
        <w:tc>
          <w:tcPr>
            <w:tcW w:w="1582" w:type="dxa"/>
            <w:tcBorders>
              <w:top w:val="nil"/>
              <w:bottom w:val="nil"/>
            </w:tcBorders>
            <w:shd w:val="clear" w:color="auto" w:fill="2E7CC0"/>
            <w:vAlign w:val="center"/>
          </w:tcPr>
          <w:p w:rsidR="00855438" w:rsidRPr="00195EEB" w:rsidRDefault="00195EEB">
            <w:pPr>
              <w:pBdr>
                <w:top w:val="nil"/>
                <w:left w:val="nil"/>
                <w:bottom w:val="nil"/>
                <w:right w:val="nil"/>
                <w:between w:val="nil"/>
              </w:pBdr>
              <w:spacing w:before="0" w:line="240" w:lineRule="auto"/>
              <w:ind w:left="51" w:right="89"/>
              <w:jc w:val="center"/>
              <w:rPr>
                <w:rFonts w:asciiTheme="minorHAnsi" w:eastAsia="Arial" w:hAnsiTheme="minorHAnsi" w:cs="Arial"/>
                <w:b/>
                <w:color w:val="767171"/>
                <w:sz w:val="18"/>
                <w:szCs w:val="18"/>
              </w:rPr>
            </w:pPr>
            <w:r w:rsidRPr="00195EEB">
              <w:rPr>
                <w:rFonts w:asciiTheme="minorHAnsi" w:eastAsia="Arial" w:hAnsiTheme="minorHAnsi" w:cs="Arial"/>
                <w:b/>
                <w:color w:val="FFFFFF"/>
                <w:sz w:val="18"/>
                <w:szCs w:val="18"/>
              </w:rPr>
              <w:t>RENDIMIENTO</w:t>
            </w:r>
          </w:p>
        </w:tc>
      </w:tr>
      <w:tr w:rsidR="00855438" w:rsidRPr="00195EEB">
        <w:trPr>
          <w:trHeight w:val="565"/>
          <w:jc w:val="center"/>
        </w:trPr>
        <w:tc>
          <w:tcPr>
            <w:tcW w:w="3119" w:type="dxa"/>
            <w:tcBorders>
              <w:top w:val="nil"/>
              <w:left w:val="single" w:sz="4" w:space="0" w:color="2E7CC0"/>
              <w:bottom w:val="single" w:sz="4" w:space="0" w:color="4472C4"/>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6"/>
              <w:jc w:val="left"/>
              <w:rPr>
                <w:rFonts w:asciiTheme="minorHAnsi" w:eastAsia="Arial" w:hAnsiTheme="minorHAnsi" w:cs="Arial"/>
                <w:color w:val="575756"/>
                <w:sz w:val="18"/>
                <w:szCs w:val="18"/>
                <w:lang w:val="es-CL"/>
              </w:rPr>
            </w:pPr>
            <w:r w:rsidRPr="00195EEB">
              <w:rPr>
                <w:rFonts w:asciiTheme="minorHAnsi" w:eastAsia="Arial" w:hAnsiTheme="minorHAnsi" w:cs="Arial"/>
                <w:color w:val="575756"/>
                <w:sz w:val="18"/>
                <w:szCs w:val="18"/>
                <w:lang w:val="es-CL"/>
              </w:rPr>
              <w:t>Médicos (según definición)</w:t>
            </w:r>
          </w:p>
          <w:p w:rsidR="00855438" w:rsidRPr="00195EEB" w:rsidRDefault="00195EEB">
            <w:pPr>
              <w:pBdr>
                <w:top w:val="nil"/>
                <w:left w:val="nil"/>
                <w:bottom w:val="nil"/>
                <w:right w:val="nil"/>
                <w:between w:val="nil"/>
              </w:pBdr>
              <w:spacing w:before="0" w:line="240" w:lineRule="auto"/>
              <w:ind w:left="113" w:right="116"/>
              <w:jc w:val="left"/>
              <w:rPr>
                <w:rFonts w:asciiTheme="minorHAnsi" w:eastAsia="Arial" w:hAnsiTheme="minorHAnsi" w:cs="Arial"/>
                <w:color w:val="575756"/>
                <w:sz w:val="18"/>
                <w:szCs w:val="18"/>
                <w:lang w:val="es-CL"/>
              </w:rPr>
            </w:pPr>
            <w:r w:rsidRPr="00195EEB">
              <w:rPr>
                <w:rFonts w:asciiTheme="minorHAnsi" w:eastAsia="Arial" w:hAnsiTheme="minorHAnsi" w:cs="Arial"/>
                <w:color w:val="575756"/>
                <w:sz w:val="18"/>
                <w:szCs w:val="18"/>
                <w:lang w:val="es-CL"/>
              </w:rPr>
              <w:t>Trabajador/a Social</w:t>
            </w:r>
          </w:p>
          <w:p w:rsidR="00855438" w:rsidRPr="00195EEB" w:rsidRDefault="00195EEB">
            <w:pPr>
              <w:pBdr>
                <w:top w:val="nil"/>
                <w:left w:val="nil"/>
                <w:bottom w:val="nil"/>
                <w:right w:val="nil"/>
                <w:between w:val="nil"/>
              </w:pBdr>
              <w:spacing w:before="0" w:line="240" w:lineRule="auto"/>
              <w:ind w:left="113" w:right="116"/>
              <w:jc w:val="left"/>
              <w:rPr>
                <w:rFonts w:asciiTheme="minorHAnsi" w:eastAsia="Arial" w:hAnsiTheme="minorHAnsi" w:cs="Arial"/>
                <w:color w:val="575756"/>
                <w:sz w:val="18"/>
                <w:szCs w:val="18"/>
                <w:lang w:val="es-CL"/>
              </w:rPr>
            </w:pPr>
            <w:r w:rsidRPr="00195EEB">
              <w:rPr>
                <w:rFonts w:asciiTheme="minorHAnsi" w:eastAsia="Arial" w:hAnsiTheme="minorHAnsi" w:cs="Arial"/>
                <w:color w:val="575756"/>
                <w:sz w:val="18"/>
                <w:szCs w:val="18"/>
                <w:lang w:val="es-CL"/>
              </w:rPr>
              <w:t xml:space="preserve">Psicólogo/a </w:t>
            </w:r>
          </w:p>
          <w:p w:rsidR="00855438" w:rsidRPr="00195EEB" w:rsidRDefault="00195EEB">
            <w:pPr>
              <w:pBdr>
                <w:top w:val="nil"/>
                <w:left w:val="nil"/>
                <w:bottom w:val="nil"/>
                <w:right w:val="nil"/>
                <w:between w:val="nil"/>
              </w:pBdr>
              <w:spacing w:before="0" w:line="240" w:lineRule="auto"/>
              <w:ind w:left="113" w:right="116"/>
              <w:jc w:val="left"/>
              <w:rPr>
                <w:rFonts w:asciiTheme="minorHAnsi" w:eastAsia="Arial" w:hAnsiTheme="minorHAnsi" w:cs="Arial"/>
                <w:color w:val="575756"/>
                <w:sz w:val="18"/>
                <w:szCs w:val="18"/>
                <w:lang w:val="es-CL"/>
              </w:rPr>
            </w:pPr>
            <w:r w:rsidRPr="00195EEB">
              <w:rPr>
                <w:rFonts w:asciiTheme="minorHAnsi" w:eastAsia="Arial" w:hAnsiTheme="minorHAnsi" w:cs="Arial"/>
                <w:color w:val="575756"/>
                <w:sz w:val="18"/>
                <w:szCs w:val="18"/>
                <w:lang w:val="es-CL"/>
              </w:rPr>
              <w:t>Enfermero/a</w:t>
            </w:r>
          </w:p>
          <w:p w:rsidR="00855438" w:rsidRPr="00195EEB" w:rsidRDefault="00195EEB">
            <w:pPr>
              <w:pBdr>
                <w:top w:val="nil"/>
                <w:left w:val="nil"/>
                <w:bottom w:val="nil"/>
                <w:right w:val="nil"/>
                <w:between w:val="nil"/>
              </w:pBdr>
              <w:spacing w:before="0" w:line="240" w:lineRule="auto"/>
              <w:ind w:left="113" w:right="116"/>
              <w:jc w:val="left"/>
              <w:rPr>
                <w:rFonts w:asciiTheme="minorHAnsi" w:eastAsia="Arial" w:hAnsiTheme="minorHAnsi" w:cs="Arial"/>
                <w:color w:val="575756"/>
                <w:sz w:val="18"/>
                <w:szCs w:val="18"/>
                <w:lang w:val="es-CL"/>
              </w:rPr>
            </w:pPr>
            <w:proofErr w:type="spellStart"/>
            <w:r w:rsidRPr="00195EEB">
              <w:rPr>
                <w:rFonts w:asciiTheme="minorHAnsi" w:eastAsia="Arial" w:hAnsiTheme="minorHAnsi" w:cs="Arial"/>
                <w:color w:val="575756"/>
                <w:sz w:val="18"/>
                <w:szCs w:val="18"/>
                <w:lang w:val="es-CL"/>
              </w:rPr>
              <w:t>Matrón</w:t>
            </w:r>
            <w:proofErr w:type="spellEnd"/>
            <w:r w:rsidRPr="00195EEB">
              <w:rPr>
                <w:rFonts w:asciiTheme="minorHAnsi" w:eastAsia="Arial" w:hAnsiTheme="minorHAnsi" w:cs="Arial"/>
                <w:color w:val="575756"/>
                <w:sz w:val="18"/>
                <w:szCs w:val="18"/>
                <w:lang w:val="es-CL"/>
              </w:rPr>
              <w:t>/a</w:t>
            </w:r>
          </w:p>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lang w:val="es-CL"/>
              </w:rPr>
              <w:t xml:space="preserve">  </w:t>
            </w:r>
            <w:proofErr w:type="spellStart"/>
            <w:r w:rsidRPr="00195EEB">
              <w:rPr>
                <w:rFonts w:asciiTheme="minorHAnsi" w:eastAsia="Arial" w:hAnsiTheme="minorHAnsi" w:cs="Arial"/>
                <w:color w:val="575756"/>
                <w:sz w:val="18"/>
                <w:szCs w:val="18"/>
              </w:rPr>
              <w:t>Abogado</w:t>
            </w:r>
            <w:proofErr w:type="spellEnd"/>
            <w:r w:rsidRPr="00195EEB">
              <w:rPr>
                <w:rFonts w:asciiTheme="minorHAnsi" w:eastAsia="Arial" w:hAnsiTheme="minorHAnsi" w:cs="Arial"/>
                <w:color w:val="575756"/>
                <w:sz w:val="18"/>
                <w:szCs w:val="18"/>
              </w:rPr>
              <w:t>/a</w:t>
            </w:r>
          </w:p>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Otros</w:t>
            </w:r>
            <w:proofErr w:type="spellEnd"/>
            <w:r w:rsidRPr="00195EEB">
              <w:rPr>
                <w:rFonts w:asciiTheme="minorHAnsi" w:eastAsia="Arial" w:hAnsiTheme="minorHAnsi" w:cs="Arial"/>
                <w:color w:val="575756"/>
                <w:sz w:val="18"/>
                <w:szCs w:val="18"/>
              </w:rPr>
              <w:t xml:space="preserve"> </w:t>
            </w:r>
            <w:proofErr w:type="spellStart"/>
            <w:r w:rsidRPr="00195EEB">
              <w:rPr>
                <w:rFonts w:asciiTheme="minorHAnsi" w:eastAsia="Arial" w:hAnsiTheme="minorHAnsi" w:cs="Arial"/>
                <w:color w:val="575756"/>
                <w:sz w:val="18"/>
                <w:szCs w:val="18"/>
              </w:rPr>
              <w:t>profesionales</w:t>
            </w:r>
            <w:proofErr w:type="spellEnd"/>
            <w:r w:rsidRPr="00195EEB">
              <w:rPr>
                <w:rFonts w:asciiTheme="minorHAnsi" w:eastAsia="Arial" w:hAnsiTheme="minorHAnsi" w:cs="Arial"/>
                <w:color w:val="575756"/>
                <w:sz w:val="18"/>
                <w:szCs w:val="18"/>
              </w:rPr>
              <w:t xml:space="preserve">. </w:t>
            </w:r>
          </w:p>
        </w:tc>
        <w:tc>
          <w:tcPr>
            <w:tcW w:w="3234" w:type="dxa"/>
            <w:tcBorders>
              <w:top w:val="nil"/>
              <w:left w:val="single" w:sz="4" w:space="0" w:color="2E7CC0"/>
              <w:bottom w:val="single" w:sz="4" w:space="0" w:color="4472C4"/>
              <w:right w:val="single" w:sz="4" w:space="0" w:color="2E7CC0"/>
            </w:tcBorders>
            <w:vAlign w:val="center"/>
          </w:tcPr>
          <w:p w:rsidR="00855438" w:rsidRPr="00195EEB" w:rsidRDefault="00195EEB">
            <w:pPr>
              <w:pBdr>
                <w:top w:val="nil"/>
                <w:left w:val="nil"/>
                <w:bottom w:val="nil"/>
                <w:right w:val="nil"/>
                <w:between w:val="nil"/>
              </w:pBdr>
              <w:spacing w:before="0" w:line="240" w:lineRule="auto"/>
              <w:ind w:left="113" w:right="116"/>
              <w:jc w:val="left"/>
              <w:rPr>
                <w:rFonts w:asciiTheme="minorHAnsi" w:eastAsia="Arial" w:hAnsiTheme="minorHAnsi" w:cs="Arial"/>
                <w:color w:val="575756"/>
                <w:sz w:val="18"/>
                <w:szCs w:val="18"/>
                <w:lang w:val="es-CL"/>
              </w:rPr>
            </w:pPr>
            <w:r w:rsidRPr="00195EEB">
              <w:rPr>
                <w:rFonts w:asciiTheme="minorHAnsi" w:eastAsia="Arial" w:hAnsiTheme="minorHAnsi" w:cs="Arial"/>
                <w:color w:val="575756"/>
                <w:sz w:val="18"/>
                <w:szCs w:val="18"/>
                <w:lang w:val="es-CL"/>
              </w:rPr>
              <w:t xml:space="preserve">Comité de Protección de NNA </w:t>
            </w:r>
          </w:p>
        </w:tc>
        <w:tc>
          <w:tcPr>
            <w:tcW w:w="2303" w:type="dxa"/>
            <w:tcBorders>
              <w:top w:val="nil"/>
              <w:left w:val="single" w:sz="4" w:space="0" w:color="2E7CC0"/>
              <w:bottom w:val="single" w:sz="4" w:space="0" w:color="4472C4"/>
              <w:right w:val="single" w:sz="4" w:space="0" w:color="2E7CC0"/>
            </w:tcBorders>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2-4 horas</w:t>
            </w:r>
          </w:p>
        </w:tc>
        <w:tc>
          <w:tcPr>
            <w:tcW w:w="1582" w:type="dxa"/>
            <w:tcBorders>
              <w:top w:val="nil"/>
              <w:left w:val="single" w:sz="4" w:space="0" w:color="2E7CC0"/>
              <w:bottom w:val="single" w:sz="4" w:space="0" w:color="4472C4"/>
              <w:right w:val="single" w:sz="4" w:space="0" w:color="2E7CC0"/>
            </w:tcBorders>
            <w:vAlign w:val="center"/>
          </w:tcPr>
          <w:p w:rsidR="00855438" w:rsidRPr="00195EEB" w:rsidRDefault="00195EEB">
            <w:pPr>
              <w:pBdr>
                <w:top w:val="nil"/>
                <w:left w:val="nil"/>
                <w:bottom w:val="nil"/>
                <w:right w:val="nil"/>
                <w:between w:val="nil"/>
              </w:pBdr>
              <w:spacing w:before="0" w:line="240" w:lineRule="auto"/>
              <w:ind w:right="116"/>
              <w:jc w:val="left"/>
              <w:rPr>
                <w:rFonts w:asciiTheme="minorHAnsi" w:eastAsia="Arial" w:hAnsiTheme="minorHAnsi" w:cs="Arial"/>
                <w:color w:val="575756"/>
                <w:sz w:val="18"/>
                <w:szCs w:val="18"/>
              </w:rPr>
            </w:pPr>
            <w:r w:rsidRPr="00195EEB">
              <w:rPr>
                <w:rFonts w:asciiTheme="minorHAnsi" w:eastAsia="Arial" w:hAnsiTheme="minorHAnsi" w:cs="Arial"/>
                <w:color w:val="575756"/>
                <w:sz w:val="18"/>
                <w:szCs w:val="18"/>
              </w:rPr>
              <w:t xml:space="preserve"> 2-3 </w:t>
            </w:r>
            <w:proofErr w:type="spellStart"/>
            <w:r w:rsidRPr="00195EEB">
              <w:rPr>
                <w:rFonts w:asciiTheme="minorHAnsi" w:eastAsia="Arial" w:hAnsiTheme="minorHAnsi" w:cs="Arial"/>
                <w:color w:val="575756"/>
                <w:sz w:val="18"/>
                <w:szCs w:val="18"/>
              </w:rPr>
              <w:t>pacientes</w:t>
            </w:r>
            <w:proofErr w:type="spellEnd"/>
            <w:r w:rsidRPr="00195EEB">
              <w:rPr>
                <w:rFonts w:asciiTheme="minorHAnsi" w:eastAsia="Arial" w:hAnsiTheme="minorHAnsi" w:cs="Arial"/>
                <w:color w:val="575756"/>
                <w:sz w:val="18"/>
                <w:szCs w:val="18"/>
              </w:rPr>
              <w:t>/hora</w:t>
            </w:r>
          </w:p>
          <w:p w:rsidR="00855438" w:rsidRPr="00195EEB" w:rsidRDefault="00855438">
            <w:pPr>
              <w:pBdr>
                <w:top w:val="nil"/>
                <w:left w:val="nil"/>
                <w:bottom w:val="nil"/>
                <w:right w:val="nil"/>
                <w:between w:val="nil"/>
              </w:pBdr>
              <w:spacing w:before="0" w:line="240" w:lineRule="auto"/>
              <w:ind w:left="112" w:right="116"/>
              <w:jc w:val="left"/>
              <w:rPr>
                <w:rFonts w:asciiTheme="minorHAnsi" w:eastAsia="Arial" w:hAnsiTheme="minorHAnsi" w:cs="Arial"/>
                <w:color w:val="575756"/>
                <w:sz w:val="18"/>
                <w:szCs w:val="18"/>
              </w:rPr>
            </w:pPr>
          </w:p>
        </w:tc>
      </w:tr>
    </w:tbl>
    <w:p w:rsidR="00855438" w:rsidRPr="00195EEB" w:rsidRDefault="00855438">
      <w:pPr>
        <w:spacing w:before="0" w:line="240" w:lineRule="auto"/>
        <w:rPr>
          <w:rFonts w:asciiTheme="minorHAnsi" w:eastAsia="Arial" w:hAnsiTheme="minorHAnsi" w:cs="Arial"/>
        </w:rPr>
      </w:pPr>
      <w:bookmarkStart w:id="0" w:name="_heading=h.gjdgxs" w:colFirst="0" w:colLast="0"/>
      <w:bookmarkEnd w:id="0"/>
    </w:p>
    <w:p w:rsidR="00855438" w:rsidRPr="00195EEB" w:rsidRDefault="00855438">
      <w:pPr>
        <w:spacing w:before="0" w:line="240" w:lineRule="auto"/>
        <w:rPr>
          <w:rFonts w:asciiTheme="minorHAnsi" w:eastAsia="Arial" w:hAnsiTheme="minorHAnsi" w:cs="Arial"/>
        </w:rPr>
      </w:pPr>
    </w:p>
    <w:p w:rsidR="00855438" w:rsidRPr="00195EEB" w:rsidRDefault="00855438">
      <w:pPr>
        <w:spacing w:before="0" w:line="240" w:lineRule="auto"/>
        <w:rPr>
          <w:rFonts w:asciiTheme="minorHAnsi" w:eastAsia="Arial" w:hAnsiTheme="minorHAnsi" w:cs="Arial"/>
        </w:rPr>
      </w:pPr>
      <w:bookmarkStart w:id="1" w:name="_GoBack"/>
      <w:bookmarkEnd w:id="1"/>
    </w:p>
    <w:sectPr w:rsidR="00855438" w:rsidRPr="00195EEB">
      <w:pgSz w:w="12240" w:h="15840"/>
      <w:pgMar w:top="1134" w:right="1077" w:bottom="1134" w:left="107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4063"/>
    <w:multiLevelType w:val="multilevel"/>
    <w:tmpl w:val="C0E81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38"/>
    <w:rsid w:val="00195EEB"/>
    <w:rsid w:val="008554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77EAC-35BE-474E-BF1E-C1003F77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color w:val="767171"/>
        <w:sz w:val="22"/>
        <w:szCs w:val="22"/>
        <w:lang w:val="es-CL" w:eastAsia="es-CL" w:bidi="ar-SA"/>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84B"/>
    <w:rPr>
      <w:rFonts w:cs="Times New Roman"/>
      <w:color w:val="767171" w:themeColor="background2" w:themeShade="80"/>
      <w:szCs w:val="24"/>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customStyle="1" w:styleId="Default">
    <w:name w:val="Default"/>
    <w:rsid w:val="00F20362"/>
    <w:pPr>
      <w:autoSpaceDE w:val="0"/>
      <w:autoSpaceDN w:val="0"/>
      <w:adjustRightInd w:val="0"/>
      <w:spacing w:line="240" w:lineRule="auto"/>
    </w:pPr>
    <w:rPr>
      <w:rFonts w:ascii="Trebuchet MS" w:hAnsi="Trebuchet MS" w:cs="Trebuchet MS"/>
      <w:color w:val="000000"/>
      <w:sz w:val="24"/>
      <w:szCs w:val="24"/>
    </w:rPr>
  </w:style>
  <w:style w:type="paragraph" w:styleId="Prrafodelista">
    <w:name w:val="List Paragraph"/>
    <w:basedOn w:val="Normal"/>
    <w:uiPriority w:val="34"/>
    <w:qFormat/>
    <w:rsid w:val="008F5054"/>
    <w:pPr>
      <w:spacing w:before="0"/>
      <w:ind w:left="720"/>
    </w:pPr>
    <w:rPr>
      <w:rFonts w:eastAsiaTheme="minorHAnsi" w:cs="Calibri"/>
      <w:szCs w:val="22"/>
    </w:rPr>
  </w:style>
  <w:style w:type="table" w:customStyle="1" w:styleId="TableNormal0">
    <w:name w:val="Table Normal"/>
    <w:uiPriority w:val="2"/>
    <w:semiHidden/>
    <w:unhideWhenUsed/>
    <w:qFormat/>
    <w:rsid w:val="00F0677A"/>
    <w:pPr>
      <w:widowControl w:val="0"/>
      <w:autoSpaceDE w:val="0"/>
      <w:autoSpaceDN w:val="0"/>
      <w:spacing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677A"/>
    <w:pPr>
      <w:widowControl w:val="0"/>
      <w:autoSpaceDE w:val="0"/>
      <w:autoSpaceDN w:val="0"/>
      <w:spacing w:before="0" w:line="240" w:lineRule="auto"/>
      <w:jc w:val="left"/>
    </w:pPr>
    <w:rPr>
      <w:rFonts w:cs="Tahoma"/>
      <w:szCs w:val="22"/>
      <w:lang w:val="es-ES"/>
    </w:rPr>
  </w:style>
  <w:style w:type="paragraph" w:styleId="Textoindependiente">
    <w:name w:val="Body Text"/>
    <w:basedOn w:val="Normal"/>
    <w:link w:val="TextoindependienteCar"/>
    <w:uiPriority w:val="1"/>
    <w:qFormat/>
    <w:rsid w:val="00C54C62"/>
    <w:pPr>
      <w:widowControl w:val="0"/>
      <w:autoSpaceDE w:val="0"/>
      <w:autoSpaceDN w:val="0"/>
      <w:spacing w:before="0" w:line="240" w:lineRule="auto"/>
      <w:jc w:val="left"/>
    </w:pPr>
    <w:rPr>
      <w:rFonts w:cs="Tahoma"/>
      <w:szCs w:val="22"/>
      <w:lang w:val="es-ES"/>
    </w:rPr>
  </w:style>
  <w:style w:type="character" w:customStyle="1" w:styleId="TextoindependienteCar">
    <w:name w:val="Texto independiente Car"/>
    <w:basedOn w:val="Fuentedeprrafopredeter"/>
    <w:link w:val="Textoindependiente"/>
    <w:uiPriority w:val="1"/>
    <w:rsid w:val="00C54C62"/>
    <w:rPr>
      <w:rFonts w:ascii="Tahoma" w:eastAsia="Tahoma" w:hAnsi="Tahoma" w:cs="Tahoma"/>
      <w:lang w:val="es-ES"/>
    </w:rPr>
  </w:style>
  <w:style w:type="character" w:styleId="Ttulodellibro">
    <w:name w:val="Book Title"/>
    <w:basedOn w:val="Fuentedeprrafopredeter"/>
    <w:uiPriority w:val="33"/>
    <w:qFormat/>
    <w:rsid w:val="00C2784B"/>
    <w:rPr>
      <w:b/>
      <w:bCs/>
      <w:i/>
      <w:iCs/>
      <w:spacing w:val="5"/>
    </w:rPr>
  </w:style>
  <w:style w:type="paragraph" w:styleId="Textodeglobo">
    <w:name w:val="Balloon Text"/>
    <w:basedOn w:val="Normal"/>
    <w:link w:val="TextodegloboCar"/>
    <w:uiPriority w:val="99"/>
    <w:semiHidden/>
    <w:unhideWhenUsed/>
    <w:rsid w:val="00CF0856"/>
    <w:pPr>
      <w:spacing w:before="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0856"/>
    <w:rPr>
      <w:rFonts w:ascii="Segoe UI" w:hAnsi="Segoe UI" w:cs="Segoe UI"/>
      <w:color w:val="767171" w:themeColor="background2" w:themeShade="80"/>
      <w:sz w:val="18"/>
      <w:szCs w:val="18"/>
    </w:rPr>
  </w:style>
  <w:style w:type="character" w:styleId="Hipervnculo">
    <w:name w:val="Hyperlink"/>
    <w:basedOn w:val="Fuentedeprrafopredeter"/>
    <w:uiPriority w:val="99"/>
    <w:unhideWhenUsed/>
    <w:rsid w:val="002A3BF6"/>
    <w:rPr>
      <w:color w:val="0563C1" w:themeColor="hyperlink"/>
      <w:u w:val="single"/>
    </w:rPr>
  </w:style>
  <w:style w:type="character" w:customStyle="1" w:styleId="UnresolvedMention">
    <w:name w:val="Unresolved Mention"/>
    <w:basedOn w:val="Fuentedeprrafopredeter"/>
    <w:uiPriority w:val="99"/>
    <w:semiHidden/>
    <w:unhideWhenUsed/>
    <w:rsid w:val="002A3BF6"/>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insal.cl/orientaciones-para-la-planificacion-y-programacion-en-r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LJ0wxUR2Yqs/67LIQBLnaXAD9w==">AMUW2mWTfNLfvdZ8GnDyOirieThADDYY2zp+o0/9MEUyVt98mGbjOVb8obCYZYQXfss5N8qjok2ti8gDy81ADzVftsdO2RzSqONDSG5HHwsWvpINmofQctLQXzaHhhx8a6y7JYUbFqtJ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1188</Words>
  <Characters>6535</Characters>
  <Application>Microsoft Office Word</Application>
  <DocSecurity>0</DocSecurity>
  <Lines>54</Lines>
  <Paragraphs>15</Paragraphs>
  <ScaleCrop>false</ScaleCrop>
  <Company/>
  <LinksUpToDate>false</LinksUpToDate>
  <CharactersWithSpaces>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KTF</dc:creator>
  <cp:lastModifiedBy>Milena Pereira Romero</cp:lastModifiedBy>
  <cp:revision>3</cp:revision>
  <dcterms:created xsi:type="dcterms:W3CDTF">2022-08-23T16:24:00Z</dcterms:created>
  <dcterms:modified xsi:type="dcterms:W3CDTF">2022-09-01T21:58:00Z</dcterms:modified>
</cp:coreProperties>
</file>