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412" w:rsidRDefault="00EC7615">
      <w:bookmarkStart w:id="0" w:name="_heading=h.gjdgxs" w:colFirst="0" w:colLast="0"/>
      <w:bookmarkEnd w:id="0"/>
      <w:r>
        <w:t xml:space="preserve"> </w:t>
      </w:r>
      <w:r>
        <w:rPr>
          <w:noProof/>
        </w:rPr>
        <w:drawing>
          <wp:inline distT="0" distB="0" distL="0" distR="0">
            <wp:extent cx="908025" cy="825500"/>
            <wp:effectExtent l="0" t="0" r="0" b="0"/>
            <wp:docPr id="1269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025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</w:t>
      </w:r>
    </w:p>
    <w:p w:rsidR="00A76412" w:rsidRDefault="00A76412" w:rsidP="00F71E6A">
      <w:pPr>
        <w:spacing w:after="270"/>
        <w:jc w:val="center"/>
      </w:pPr>
    </w:p>
    <w:p w:rsidR="00A76412" w:rsidRPr="00F71E6A" w:rsidRDefault="00EC7615" w:rsidP="00F71E6A">
      <w:pPr>
        <w:pStyle w:val="Ttulo2"/>
        <w:ind w:left="4608" w:firstLine="432"/>
        <w:rPr>
          <w:rFonts w:asciiTheme="minorHAnsi" w:hAnsiTheme="minorHAnsi"/>
          <w:sz w:val="30"/>
          <w:szCs w:val="30"/>
        </w:rPr>
      </w:pPr>
      <w:r w:rsidRPr="00F71E6A">
        <w:rPr>
          <w:rFonts w:asciiTheme="minorHAnsi" w:hAnsiTheme="minorHAnsi"/>
          <w:sz w:val="30"/>
          <w:szCs w:val="30"/>
        </w:rPr>
        <w:t>ANEXO 2</w:t>
      </w:r>
    </w:p>
    <w:p w:rsidR="00A76412" w:rsidRPr="00F71E6A" w:rsidRDefault="00EC7615" w:rsidP="00F71E6A">
      <w:pPr>
        <w:pStyle w:val="Ttulo2"/>
        <w:ind w:left="3600"/>
        <w:rPr>
          <w:rFonts w:asciiTheme="minorHAnsi" w:hAnsiTheme="minorHAnsi"/>
          <w:sz w:val="30"/>
          <w:szCs w:val="30"/>
        </w:rPr>
      </w:pPr>
      <w:r w:rsidRPr="00F71E6A">
        <w:rPr>
          <w:rFonts w:asciiTheme="minorHAnsi" w:hAnsiTheme="minorHAnsi"/>
          <w:sz w:val="30"/>
          <w:szCs w:val="30"/>
        </w:rPr>
        <w:t>Diagnóstico Población Migrante</w:t>
      </w:r>
    </w:p>
    <w:p w:rsidR="00A76412" w:rsidRDefault="00EC7615">
      <w:pPr>
        <w:ind w:left="1003" w:right="895"/>
        <w:jc w:val="both"/>
      </w:pPr>
      <w:r>
        <w:t>La migración es un fenómeno dinámico que tiene alto impacto en los niveles locales. Acorde al último estudio del Instituto Nacional de Estadísticas (INE) en conjunto con el Departamento de Extranjería y Migración (DEM) actualmente vigente (2021), se estimó</w:t>
      </w:r>
      <w:r>
        <w:t xml:space="preserve"> en 1.462.103 las personas extranjeras residentes habituales en Chile al 31 de diciembre de 2020, lo que equivale al 7,7% de la población que habita el territorio nacional. En esta actualización, se observa una mayor presencia de hombres (51,2%) que, de mu</w:t>
      </w:r>
      <w:r>
        <w:t>jeres, lo que indica una leve masculinización respecto de los migrantes internacionales censados en 2019. Respecto de la distribución por edad, cerca del 60% de la población estimada se concentra entre los 20 y 39 años, lo que nos indica que las personas e</w:t>
      </w:r>
      <w:r>
        <w:t xml:space="preserve">xtranjeras residentes en Chile se encuentran en los tramos de edad de población económicamente activa. La comunidad migrante más prevalente es la venezolana (30,5%), seguida por la peruana (15,8%), la haitiana (12,5%), la colombiana (10,8%), boliviana (8, </w:t>
      </w:r>
      <w:r>
        <w:t>O%)</w:t>
      </w:r>
      <w:r>
        <w:rPr>
          <w:sz w:val="20"/>
          <w:szCs w:val="20"/>
          <w:vertAlign w:val="superscript"/>
        </w:rPr>
        <w:footnoteReference w:id="1"/>
      </w:r>
      <w:r>
        <w:t>. Estas nacionalidades concentran el 77,6%del total de la población extranjera residente en Chile.</w:t>
      </w:r>
      <w:r>
        <w:rPr>
          <w:color w:val="000000"/>
        </w:rPr>
        <w:t xml:space="preserve"> </w:t>
      </w:r>
    </w:p>
    <w:p w:rsidR="00A76412" w:rsidRDefault="00EC7615">
      <w:pPr>
        <w:spacing w:after="6"/>
        <w:ind w:left="1003" w:right="895"/>
        <w:jc w:val="both"/>
      </w:pPr>
      <w:r>
        <w:t>Las tres regiones con mayor porcentaje de personas extranjeras residentes habituales son la Región Metropolitana, que concentra el 63,1%, seguida por la</w:t>
      </w:r>
      <w:r>
        <w:t xml:space="preserve"> Región de Antofagasta, con un 7,1% y la de Valparaíso, con un 6,4%. Por su parte, las regiones del norte del país: Tarapacá, Antofagasta y Arica, son las regiones donde la población extranjera tiene un peso mayor sobre el total poblacional regional, con 1</w:t>
      </w:r>
      <w:r>
        <w:t>6,9%, 13,6% y 10,4% respectivamente. En cuanto a la población migrante en el sistema público de salud, la población extranjera beneficiaria de FONASA alcanza a 1.195.967 personas a diciembre de 2021</w:t>
      </w:r>
      <w:r>
        <w:rPr>
          <w:sz w:val="20"/>
          <w:szCs w:val="20"/>
          <w:vertAlign w:val="superscript"/>
        </w:rPr>
        <w:t>2</w:t>
      </w:r>
      <w:r>
        <w:t>, lo que representa el 7,9% de la población total benefic</w:t>
      </w:r>
      <w:r>
        <w:t>iaria. Siendo una pequeña proporción, su estructura demográfica es bastante diferente a la población total en donde las personas en edad económicamente activa representan el 85% del total de su población, los menores de 15 años un 8,6% y los adultos mayore</w:t>
      </w:r>
      <w:r>
        <w:t xml:space="preserve">s de 65 años y más un 3%. Contrastando la relación por sexo, las mujeres representan un 52% y los hombres 48%. En cuanto a la distribución por tramo, </w:t>
      </w:r>
      <w:proofErr w:type="gramStart"/>
      <w:r>
        <w:t>la</w:t>
      </w:r>
      <w:proofErr w:type="gramEnd"/>
      <w:r>
        <w:t xml:space="preserve"> mayoría de la población extranjera se encuentra en tramo B (30,94%) y la minoría se encuentra en tramo </w:t>
      </w:r>
      <w:r>
        <w:t>A (19,81%), marcando una diferencia con la población chilena, donde la minoría se encuentra en el tramo C (15,85%):</w:t>
      </w:r>
      <w:r>
        <w:rPr>
          <w:color w:val="000000"/>
        </w:rPr>
        <w:t xml:space="preserve"> </w:t>
      </w:r>
    </w:p>
    <w:tbl>
      <w:tblPr>
        <w:tblStyle w:val="a"/>
        <w:tblW w:w="9693" w:type="dxa"/>
        <w:tblInd w:w="1008" w:type="dxa"/>
        <w:tblLayout w:type="fixed"/>
        <w:tblLook w:val="0400" w:firstRow="0" w:lastRow="0" w:firstColumn="0" w:lastColumn="0" w:noHBand="0" w:noVBand="1"/>
      </w:tblPr>
      <w:tblGrid>
        <w:gridCol w:w="2175"/>
        <w:gridCol w:w="1834"/>
        <w:gridCol w:w="2016"/>
        <w:gridCol w:w="1836"/>
        <w:gridCol w:w="1832"/>
      </w:tblGrid>
      <w:tr w:rsidR="00A76412">
        <w:trPr>
          <w:trHeight w:val="408"/>
        </w:trPr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6412" w:rsidRDefault="00EC7615">
            <w:pPr>
              <w:spacing w:line="259" w:lineRule="auto"/>
              <w:jc w:val="both"/>
            </w:pPr>
            <w:r>
              <w:rPr>
                <w:sz w:val="18"/>
                <w:szCs w:val="18"/>
              </w:rPr>
              <w:t xml:space="preserve">Población por tramo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412" w:rsidRDefault="00EC7615">
            <w:pPr>
              <w:spacing w:line="259" w:lineRule="auto"/>
              <w:ind w:left="69"/>
              <w:jc w:val="both"/>
            </w:pPr>
            <w:r>
              <w:rPr>
                <w:sz w:val="18"/>
                <w:szCs w:val="18"/>
              </w:rPr>
              <w:t xml:space="preserve">A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412" w:rsidRDefault="00EC7615">
            <w:pPr>
              <w:spacing w:line="259" w:lineRule="auto"/>
              <w:ind w:left="66"/>
              <w:jc w:val="both"/>
            </w:pPr>
            <w:r>
              <w:rPr>
                <w:sz w:val="18"/>
                <w:szCs w:val="18"/>
              </w:rPr>
              <w:t xml:space="preserve">B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412" w:rsidRDefault="00EC7615">
            <w:pPr>
              <w:spacing w:line="259" w:lineRule="auto"/>
              <w:ind w:left="66"/>
              <w:jc w:val="both"/>
            </w:pPr>
            <w:r>
              <w:rPr>
                <w:sz w:val="18"/>
                <w:szCs w:val="18"/>
              </w:rPr>
              <w:t xml:space="preserve">C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412" w:rsidRDefault="00EC7615">
            <w:pPr>
              <w:spacing w:line="259" w:lineRule="auto"/>
              <w:ind w:left="68"/>
              <w:jc w:val="both"/>
            </w:pPr>
            <w:r>
              <w:rPr>
                <w:sz w:val="18"/>
                <w:szCs w:val="18"/>
              </w:rPr>
              <w:t xml:space="preserve">D </w:t>
            </w:r>
          </w:p>
        </w:tc>
      </w:tr>
      <w:tr w:rsidR="00A76412">
        <w:trPr>
          <w:trHeight w:val="40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412" w:rsidRDefault="00EC7615">
            <w:pPr>
              <w:spacing w:line="259" w:lineRule="auto"/>
              <w:jc w:val="both"/>
            </w:pPr>
            <w:r>
              <w:rPr>
                <w:sz w:val="18"/>
                <w:szCs w:val="18"/>
              </w:rPr>
              <w:t xml:space="preserve">Población chilena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412" w:rsidRDefault="00EC7615">
            <w:pPr>
              <w:spacing w:line="259" w:lineRule="auto"/>
              <w:ind w:left="64"/>
              <w:jc w:val="both"/>
            </w:pPr>
            <w:r>
              <w:rPr>
                <w:sz w:val="18"/>
                <w:szCs w:val="18"/>
              </w:rPr>
              <w:t xml:space="preserve">20,58%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412" w:rsidRDefault="00EC7615">
            <w:pPr>
              <w:spacing w:line="259" w:lineRule="auto"/>
              <w:ind w:left="63"/>
              <w:jc w:val="both"/>
            </w:pPr>
            <w:r>
              <w:rPr>
                <w:sz w:val="18"/>
                <w:szCs w:val="18"/>
              </w:rPr>
              <w:t xml:space="preserve">39,73%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412" w:rsidRDefault="00EC7615">
            <w:pPr>
              <w:spacing w:line="259" w:lineRule="auto"/>
              <w:ind w:left="61"/>
              <w:jc w:val="both"/>
            </w:pPr>
            <w:r>
              <w:rPr>
                <w:sz w:val="18"/>
                <w:szCs w:val="18"/>
              </w:rPr>
              <w:t xml:space="preserve">15,85%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412" w:rsidRDefault="00EC7615">
            <w:pPr>
              <w:spacing w:line="259" w:lineRule="auto"/>
              <w:ind w:left="66"/>
              <w:jc w:val="both"/>
            </w:pPr>
            <w:r>
              <w:rPr>
                <w:sz w:val="18"/>
                <w:szCs w:val="18"/>
              </w:rPr>
              <w:t xml:space="preserve">23,84% </w:t>
            </w:r>
          </w:p>
        </w:tc>
      </w:tr>
      <w:tr w:rsidR="00A76412">
        <w:trPr>
          <w:trHeight w:val="408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412" w:rsidRDefault="00EC7615">
            <w:pPr>
              <w:spacing w:line="259" w:lineRule="auto"/>
              <w:jc w:val="both"/>
            </w:pPr>
            <w:r>
              <w:rPr>
                <w:sz w:val="18"/>
                <w:szCs w:val="18"/>
              </w:rPr>
              <w:t xml:space="preserve">Población extranjera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412" w:rsidRDefault="00EC7615">
            <w:pPr>
              <w:spacing w:line="259" w:lineRule="auto"/>
              <w:ind w:left="64"/>
              <w:jc w:val="both"/>
            </w:pPr>
            <w:r>
              <w:rPr>
                <w:sz w:val="18"/>
                <w:szCs w:val="18"/>
              </w:rPr>
              <w:t xml:space="preserve">19,81%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412" w:rsidRDefault="00EC7615">
            <w:pPr>
              <w:spacing w:line="259" w:lineRule="auto"/>
              <w:ind w:left="63"/>
              <w:jc w:val="both"/>
            </w:pPr>
            <w:r>
              <w:rPr>
                <w:sz w:val="18"/>
                <w:szCs w:val="18"/>
              </w:rPr>
              <w:t xml:space="preserve">30,94%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412" w:rsidRDefault="00EC7615">
            <w:pPr>
              <w:spacing w:line="259" w:lineRule="auto"/>
              <w:ind w:left="61"/>
              <w:jc w:val="both"/>
            </w:pPr>
            <w:r>
              <w:rPr>
                <w:sz w:val="18"/>
                <w:szCs w:val="18"/>
              </w:rPr>
              <w:t xml:space="preserve">24,20%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6412" w:rsidRDefault="00EC7615">
            <w:pPr>
              <w:spacing w:line="259" w:lineRule="auto"/>
              <w:ind w:left="66"/>
              <w:jc w:val="both"/>
            </w:pPr>
            <w:r>
              <w:rPr>
                <w:sz w:val="18"/>
                <w:szCs w:val="18"/>
              </w:rPr>
              <w:t xml:space="preserve">25,05% </w:t>
            </w:r>
          </w:p>
        </w:tc>
      </w:tr>
    </w:tbl>
    <w:p w:rsidR="00A76412" w:rsidRDefault="00EC7615">
      <w:pPr>
        <w:spacing w:after="207"/>
        <w:ind w:left="3473"/>
        <w:jc w:val="both"/>
      </w:pPr>
      <w:r>
        <w:rPr>
          <w:sz w:val="18"/>
          <w:szCs w:val="18"/>
        </w:rPr>
        <w:t xml:space="preserve">Fuente: FONASA, 2021. </w:t>
      </w:r>
    </w:p>
    <w:p w:rsidR="00A76412" w:rsidRDefault="00EC7615">
      <w:pPr>
        <w:ind w:left="1003" w:right="895"/>
        <w:jc w:val="both"/>
      </w:pPr>
      <w:r>
        <w:t xml:space="preserve">En los sistemas de información en salud, la variable nacionalidad está presente en: Egresos Hospitalarios y Enfermedades de Notificación Obligatoria (ENO). Asimismo, los REM incorporaron la columna </w:t>
      </w:r>
      <w:r>
        <w:rPr>
          <w:rFonts w:ascii="Cambria" w:eastAsia="Cambria" w:hAnsi="Cambria" w:cs="Cambria"/>
        </w:rPr>
        <w:t>“población</w:t>
      </w:r>
      <w:r>
        <w:t xml:space="preserve"> </w:t>
      </w:r>
      <w:r>
        <w:rPr>
          <w:rFonts w:ascii="Cambria" w:eastAsia="Cambria" w:hAnsi="Cambria" w:cs="Cambria"/>
        </w:rPr>
        <w:t>inmigrante”</w:t>
      </w:r>
      <w:r>
        <w:t xml:space="preserve"> en población bajo control de los programas: Salud de la Mujer, Salud del Niño/a y Adolescente, Salud Cardiovascular, Adulto Mayor, Salud Mental en Atención Primaria y Especialidad, Infecciones de </w:t>
      </w:r>
      <w:r>
        <w:lastRenderedPageBreak/>
        <w:t xml:space="preserve">Transmisión Sexual-VIH/SIDA y en </w:t>
      </w:r>
      <w:r>
        <w:rPr>
          <w:rFonts w:ascii="Cambria" w:eastAsia="Cambria" w:hAnsi="Cambria" w:cs="Cambria"/>
        </w:rPr>
        <w:t>“Otros</w:t>
      </w:r>
      <w:r>
        <w:t xml:space="preserve"> </w:t>
      </w:r>
      <w:r>
        <w:rPr>
          <w:rFonts w:ascii="Cambria" w:eastAsia="Cambria" w:hAnsi="Cambria" w:cs="Cambria"/>
        </w:rPr>
        <w:t>Programas”.</w:t>
      </w:r>
      <w:r>
        <w:t xml:space="preserve"> También, fue incorporada la categoría en algunas actividades que se realizan en la atención primaria.</w:t>
      </w:r>
      <w:r>
        <w:rPr>
          <w:color w:val="000000"/>
        </w:rPr>
        <w:t xml:space="preserve"> </w:t>
      </w:r>
    </w:p>
    <w:p w:rsidR="00A76412" w:rsidRDefault="00EC7615">
      <w:pPr>
        <w:spacing w:after="0"/>
        <w:ind w:left="1003" w:right="895"/>
        <w:jc w:val="both"/>
      </w:pPr>
      <w:r>
        <w:t>La condición migratoria es un importante determinante social de la salud, por lo que es importante generar registros locales respecto a: condición migra</w:t>
      </w:r>
      <w:r>
        <w:t xml:space="preserve">toria (regular y </w:t>
      </w:r>
      <w:r>
        <w:rPr>
          <w:rFonts w:ascii="Cambria" w:eastAsia="Cambria" w:hAnsi="Cambria" w:cs="Cambria"/>
        </w:rPr>
        <w:t>“no</w:t>
      </w:r>
      <w:r>
        <w:t xml:space="preserve"> </w:t>
      </w:r>
      <w:r>
        <w:rPr>
          <w:rFonts w:ascii="Cambria" w:eastAsia="Cambria" w:hAnsi="Cambria" w:cs="Cambria"/>
        </w:rPr>
        <w:t>regular”),</w:t>
      </w:r>
      <w:r>
        <w:t xml:space="preserve"> país de origen y tiempo de llegada al país, pues esta información sirve para identificar vulnerabilidades específicas de la población migrante en el nivel local. Asimismo, es importante indagar sobre la existencia de redes d</w:t>
      </w:r>
      <w:r>
        <w:t>e apoyo con las que cuentan las personas, tiempo de permanencia en el país, y duración y condiciones del trayecto migratorio. Todas estas variables agregan información importante de explorar a la hora de realizar un diagnóstico y dar recomendaciones al usu</w:t>
      </w:r>
      <w:r>
        <w:t>ario.</w:t>
      </w:r>
      <w:r>
        <w:rPr>
          <w:color w:val="000000"/>
        </w:rPr>
        <w:t xml:space="preserve"> </w:t>
      </w:r>
    </w:p>
    <w:p w:rsidR="00A76412" w:rsidRDefault="00EC7615">
      <w:pPr>
        <w:ind w:left="1003" w:right="895"/>
        <w:jc w:val="both"/>
      </w:pPr>
      <w:r>
        <w:t>El diagnóstico local de población migrante debe incorporar la participación y percepción de integrantes de las organizaciones comunitarias de migrantes y de la población general para identificar las barreras de acceso a la atención, así como otras n</w:t>
      </w:r>
      <w:r>
        <w:t>ecesidades que emanan de la condición migratoria.</w:t>
      </w:r>
      <w:r>
        <w:rPr>
          <w:color w:val="000000"/>
        </w:rPr>
        <w:t xml:space="preserve"> </w:t>
      </w:r>
    </w:p>
    <w:p w:rsidR="00A76412" w:rsidRDefault="00EC7615">
      <w:pPr>
        <w:spacing w:after="120"/>
        <w:ind w:left="1003" w:right="895"/>
        <w:jc w:val="both"/>
      </w:pPr>
      <w:r>
        <w:t>Las principales barreras de acceso a la atención de las personas migrantes son:</w:t>
      </w:r>
      <w:r>
        <w:rPr>
          <w:color w:val="000000"/>
        </w:rPr>
        <w:t xml:space="preserve"> </w:t>
      </w:r>
    </w:p>
    <w:p w:rsidR="00A76412" w:rsidRDefault="00EC7615">
      <w:pPr>
        <w:numPr>
          <w:ilvl w:val="0"/>
          <w:numId w:val="1"/>
        </w:numPr>
        <w:spacing w:after="118" w:line="252" w:lineRule="auto"/>
        <w:ind w:right="895" w:hanging="283"/>
        <w:jc w:val="both"/>
      </w:pPr>
      <w:r>
        <w:t>Condición migratoria no regulada.</w:t>
      </w:r>
      <w:r>
        <w:rPr>
          <w:color w:val="000000"/>
        </w:rPr>
        <w:t xml:space="preserve"> </w:t>
      </w:r>
    </w:p>
    <w:p w:rsidR="00A76412" w:rsidRDefault="00EC7615">
      <w:pPr>
        <w:numPr>
          <w:ilvl w:val="0"/>
          <w:numId w:val="1"/>
        </w:numPr>
        <w:spacing w:after="116" w:line="252" w:lineRule="auto"/>
        <w:ind w:right="895" w:hanging="283"/>
        <w:jc w:val="both"/>
      </w:pPr>
      <w:r>
        <w:t>Carencia de cédula o documentos de identidad, seguro público o privado de salud.</w:t>
      </w:r>
      <w:r>
        <w:rPr>
          <w:color w:val="000000"/>
        </w:rPr>
        <w:t xml:space="preserve"> </w:t>
      </w:r>
    </w:p>
    <w:p w:rsidR="00A76412" w:rsidRDefault="00EC7615">
      <w:pPr>
        <w:numPr>
          <w:ilvl w:val="0"/>
          <w:numId w:val="1"/>
        </w:numPr>
        <w:spacing w:after="119" w:line="252" w:lineRule="auto"/>
        <w:ind w:right="895" w:hanging="283"/>
        <w:jc w:val="both"/>
      </w:pPr>
      <w:r>
        <w:t>Situaci</w:t>
      </w:r>
      <w:r>
        <w:t>ón laboral irregular: contrato, horarios laborales y cotizaciones.</w:t>
      </w:r>
      <w:r>
        <w:rPr>
          <w:color w:val="000000"/>
        </w:rPr>
        <w:t xml:space="preserve"> </w:t>
      </w:r>
    </w:p>
    <w:p w:rsidR="00A76412" w:rsidRDefault="00EC7615">
      <w:pPr>
        <w:numPr>
          <w:ilvl w:val="0"/>
          <w:numId w:val="1"/>
        </w:numPr>
        <w:spacing w:after="118" w:line="252" w:lineRule="auto"/>
        <w:ind w:right="895" w:hanging="283"/>
        <w:jc w:val="both"/>
      </w:pPr>
      <w:r>
        <w:t>Bajo nivel de información sobre el acceso al sistema de salud y funcionamiento de la red asistencial.</w:t>
      </w:r>
      <w:r>
        <w:rPr>
          <w:color w:val="000000"/>
        </w:rPr>
        <w:t xml:space="preserve"> </w:t>
      </w:r>
    </w:p>
    <w:p w:rsidR="00A76412" w:rsidRDefault="00EC7615">
      <w:pPr>
        <w:numPr>
          <w:ilvl w:val="0"/>
          <w:numId w:val="1"/>
        </w:numPr>
        <w:spacing w:after="118" w:line="252" w:lineRule="auto"/>
        <w:ind w:right="895" w:hanging="283"/>
        <w:jc w:val="both"/>
      </w:pPr>
      <w:r>
        <w:t>Barreras lingüísticas y culturales: siglas, lenguaje, idioma, explicaciones demasiado técnicas.</w:t>
      </w:r>
      <w:r>
        <w:rPr>
          <w:color w:val="000000"/>
        </w:rPr>
        <w:t xml:space="preserve"> </w:t>
      </w:r>
    </w:p>
    <w:p w:rsidR="00A76412" w:rsidRDefault="00EC7615">
      <w:pPr>
        <w:numPr>
          <w:ilvl w:val="0"/>
          <w:numId w:val="1"/>
        </w:numPr>
        <w:spacing w:after="45" w:line="252" w:lineRule="auto"/>
        <w:ind w:right="895" w:hanging="283"/>
        <w:jc w:val="both"/>
      </w:pPr>
      <w:r>
        <w:t>Barreras Psicosociales del usuario: valoración de la salud, temor, percepción respecto al trato, redes de apoyo, integración e inserción.</w:t>
      </w:r>
    </w:p>
    <w:p w:rsidR="00A76412" w:rsidRDefault="00EC7615">
      <w:pPr>
        <w:spacing w:after="45" w:line="252" w:lineRule="auto"/>
        <w:ind w:left="1234" w:right="895"/>
        <w:jc w:val="both"/>
      </w:pPr>
      <w:r>
        <w:rPr>
          <w:color w:val="000000"/>
        </w:rPr>
        <w:t xml:space="preserve"> </w:t>
      </w:r>
      <w:r>
        <w:rPr>
          <w:rFonts w:ascii="Tahoma" w:eastAsia="Tahoma" w:hAnsi="Tahoma" w:cs="Tahoma"/>
        </w:rPr>
        <w:t>•</w:t>
      </w:r>
      <w:r>
        <w:rPr>
          <w:rFonts w:ascii="Arial" w:eastAsia="Arial" w:hAnsi="Arial" w:cs="Arial"/>
        </w:rPr>
        <w:t xml:space="preserve"> </w:t>
      </w:r>
      <w:r>
        <w:t>Barreras psicosoci</w:t>
      </w:r>
      <w:r>
        <w:t>ales del funcionario de salud: falta de información, prejuicios, discriminación.</w:t>
      </w:r>
      <w:r>
        <w:rPr>
          <w:color w:val="000000"/>
        </w:rPr>
        <w:t xml:space="preserve"> </w:t>
      </w:r>
    </w:p>
    <w:p w:rsidR="00A76412" w:rsidRDefault="00EC7615">
      <w:pPr>
        <w:spacing w:after="0"/>
        <w:jc w:val="both"/>
      </w:pPr>
      <w:r>
        <w:rPr>
          <w:color w:val="000000"/>
          <w:sz w:val="27"/>
          <w:szCs w:val="27"/>
        </w:rPr>
        <w:t xml:space="preserve"> </w:t>
      </w:r>
    </w:p>
    <w:p w:rsidR="00A76412" w:rsidRPr="00F71E6A" w:rsidRDefault="00EC7615" w:rsidP="00F71E6A">
      <w:pPr>
        <w:pStyle w:val="Ttulo2"/>
        <w:rPr>
          <w:rFonts w:asciiTheme="minorHAnsi" w:hAnsiTheme="minorHAnsi"/>
        </w:rPr>
      </w:pPr>
      <w:r w:rsidRPr="00F71E6A">
        <w:rPr>
          <w:rFonts w:asciiTheme="minorHAnsi" w:hAnsiTheme="minorHAnsi"/>
        </w:rPr>
        <w:t>Normativa de acceso de la población migrante a la Atención en Salud</w:t>
      </w:r>
      <w:r w:rsidRPr="00F71E6A">
        <w:rPr>
          <w:rFonts w:asciiTheme="minorHAnsi" w:hAnsiTheme="minorHAnsi"/>
        </w:rPr>
        <w:t xml:space="preserve"> </w:t>
      </w:r>
    </w:p>
    <w:p w:rsidR="00A76412" w:rsidRDefault="00EC7615">
      <w:pPr>
        <w:ind w:left="1003" w:right="895"/>
        <w:jc w:val="both"/>
      </w:pPr>
      <w:r>
        <w:t>El marco normativo que regula el acceso a la salud en Chile se encuentra en coherencia con el marco int</w:t>
      </w:r>
      <w:r>
        <w:t xml:space="preserve">ernacional de Derechos Humanos. El Ministerio de Salud, comienza a tomar medidas de protección especial sobre esta población a partir del 2003, referidas específicamente a la atención de salud de mujeres embarazadas. Progresivamente se ha ido avanzando en </w:t>
      </w:r>
      <w:r>
        <w:t>mejorar el acceso a los servicios de salud de manera equitativa de acuerdo con la legislación y las prácticas nacionales, tal como exhorta la OMS en la 61ª Asamblea Mundial de Salud, Resolución WHA 61.17 de 2008 y recientemente la OPS en el 55º Consejo Dir</w:t>
      </w:r>
      <w:r>
        <w:t>ectivo de la Organización y a los distintos instrumentos internacionales de derechos humanos ratificados por Chile.</w:t>
      </w:r>
      <w:r>
        <w:rPr>
          <w:color w:val="000000"/>
        </w:rPr>
        <w:t xml:space="preserve"> </w:t>
      </w:r>
    </w:p>
    <w:p w:rsidR="00A76412" w:rsidRDefault="00EC7615">
      <w:pPr>
        <w:ind w:left="1003" w:right="895"/>
        <w:jc w:val="both"/>
      </w:pPr>
      <w:r>
        <w:t>En esta línea, se ha ampliado el acceso a la salud de las personas migrantes, incluyendo a quienes se encuentran en una situación administr</w:t>
      </w:r>
      <w:r>
        <w:t>ativa migratoria no regular (Decreto Supremo N°67 de 2016).</w:t>
      </w:r>
      <w:r>
        <w:rPr>
          <w:color w:val="000000"/>
        </w:rPr>
        <w:t xml:space="preserve"> </w:t>
      </w:r>
    </w:p>
    <w:p w:rsidR="00A76412" w:rsidRDefault="00EC7615">
      <w:pPr>
        <w:spacing w:after="122"/>
        <w:ind w:left="1003" w:right="895"/>
        <w:jc w:val="both"/>
      </w:pPr>
      <w:r>
        <w:t>A continuación, se presenta un resumen de la normativa en esta materia:</w:t>
      </w:r>
      <w:r>
        <w:rPr>
          <w:color w:val="000000"/>
        </w:rPr>
        <w:t xml:space="preserve"> </w:t>
      </w:r>
    </w:p>
    <w:p w:rsidR="00A76412" w:rsidRDefault="00EC7615">
      <w:pPr>
        <w:numPr>
          <w:ilvl w:val="0"/>
          <w:numId w:val="2"/>
        </w:numPr>
        <w:spacing w:after="127" w:line="252" w:lineRule="auto"/>
        <w:ind w:right="895" w:hanging="283"/>
        <w:jc w:val="both"/>
      </w:pPr>
      <w:r>
        <w:t>2003, enero (Oficio circular 1179 Departamento de extranjería y Migraciones). Visa temporaria a mujeres extranjeras embara</w:t>
      </w:r>
      <w:r>
        <w:t>zadas con situación migratoria no regularizada. Acceden a este trámite quienes presenten, entre otros documentos, el certificado de control de embarazo emitido por el Centro de Salud (consultorio) al que la mujer asiste, con la firma y timbre de una autori</w:t>
      </w:r>
      <w:r>
        <w:t>dad responsable de ese servicio.</w:t>
      </w:r>
      <w:r>
        <w:rPr>
          <w:color w:val="000000"/>
        </w:rPr>
        <w:t xml:space="preserve"> </w:t>
      </w:r>
    </w:p>
    <w:p w:rsidR="00A76412" w:rsidRDefault="00EC7615">
      <w:pPr>
        <w:numPr>
          <w:ilvl w:val="0"/>
          <w:numId w:val="2"/>
        </w:numPr>
        <w:spacing w:after="126" w:line="252" w:lineRule="auto"/>
        <w:ind w:right="895" w:hanging="283"/>
        <w:jc w:val="both"/>
      </w:pPr>
      <w:r>
        <w:t xml:space="preserve">2008. Convenio Minsal </w:t>
      </w:r>
      <w:r>
        <w:rPr>
          <w:rFonts w:ascii="Cambria" w:eastAsia="Cambria" w:hAnsi="Cambria" w:cs="Cambria"/>
        </w:rPr>
        <w:t>–</w:t>
      </w:r>
      <w:r>
        <w:t xml:space="preserve"> Ministerio del Interior (A 14 N°3229 Minsal). Atención en Salud de población inmigrante en riesgo social y situación de permanencia no regular. Este convenio permitió la entrega de un permiso de res</w:t>
      </w:r>
      <w:r>
        <w:t xml:space="preserve">idencia temporaria a niños, niñas y adolescentes menores de 18 años, independiente de su condición migratoria y la de sus padres, tutores o representantes legales. También, facilitó el </w:t>
      </w:r>
      <w:proofErr w:type="spellStart"/>
      <w:r>
        <w:t>ac</w:t>
      </w:r>
      <w:proofErr w:type="spellEnd"/>
      <w:r>
        <w:t>- ceso a la atención en salud de esta población.</w:t>
      </w:r>
      <w:r>
        <w:rPr>
          <w:color w:val="000000"/>
        </w:rPr>
        <w:t xml:space="preserve"> </w:t>
      </w:r>
    </w:p>
    <w:p w:rsidR="00A76412" w:rsidRDefault="00EC7615">
      <w:pPr>
        <w:numPr>
          <w:ilvl w:val="0"/>
          <w:numId w:val="2"/>
        </w:numPr>
        <w:spacing w:after="122" w:line="252" w:lineRule="auto"/>
        <w:ind w:right="895" w:hanging="283"/>
        <w:jc w:val="both"/>
      </w:pPr>
      <w:r>
        <w:lastRenderedPageBreak/>
        <w:t>2009, junio (A 14 N° 2551 Minsal). Atención en la red pública de salud de inmigrantes con credencial del FONASA, permiso de residencia en trámite y cédula de identidad caducada.</w:t>
      </w:r>
      <w:r>
        <w:rPr>
          <w:color w:val="000000"/>
        </w:rPr>
        <w:t xml:space="preserve"> </w:t>
      </w:r>
    </w:p>
    <w:p w:rsidR="00A76412" w:rsidRDefault="00EC7615">
      <w:pPr>
        <w:numPr>
          <w:ilvl w:val="0"/>
          <w:numId w:val="2"/>
        </w:numPr>
        <w:spacing w:after="168" w:line="252" w:lineRule="auto"/>
        <w:ind w:right="895" w:hanging="283"/>
        <w:jc w:val="both"/>
      </w:pPr>
      <w:r>
        <w:t>2014, diciembre. Convenio Ministerio del Interior y Seguridad Pública - FONAS</w:t>
      </w:r>
      <w:r>
        <w:t>A (Decreto exento N° 6410).</w:t>
      </w:r>
      <w:r>
        <w:rPr>
          <w:color w:val="000000"/>
        </w:rPr>
        <w:t xml:space="preserve"> </w:t>
      </w:r>
    </w:p>
    <w:p w:rsidR="00A76412" w:rsidRDefault="00EC7615">
      <w:pPr>
        <w:spacing w:after="129"/>
        <w:ind w:left="1003" w:right="895"/>
        <w:jc w:val="both"/>
      </w:pPr>
      <w:r>
        <w:t>Los extranjeros que han solicitado un permiso de residencia en el país por primera vez, una prórroga, un cambio o una nueva visa, además de aquellos extranjeros que se encuentren solicitando un cambio de categoría migratoria de</w:t>
      </w:r>
      <w:r>
        <w:t xml:space="preserve"> temporal a permanente y cuya resolución se encuentre en proceso de análisis, tendrán derecho a acceder al régimen de prestaciones de FONASA, en la calidad de beneficiarios de acuerdo a los requisitos exigidos a todas las personas que forman parte del sist</w:t>
      </w:r>
      <w:r>
        <w:t xml:space="preserve">ema en igual- dad de condiciones que cualquier otro extranjero que cuente con una </w:t>
      </w:r>
      <w:proofErr w:type="spellStart"/>
      <w:r>
        <w:t>visación</w:t>
      </w:r>
      <w:proofErr w:type="spellEnd"/>
      <w:r>
        <w:t xml:space="preserve"> de residente en Chile que se encuentre vigente, en condición de titular o dependiente.</w:t>
      </w:r>
      <w:r>
        <w:rPr>
          <w:color w:val="000000"/>
        </w:rPr>
        <w:t xml:space="preserve"> </w:t>
      </w:r>
    </w:p>
    <w:p w:rsidR="00A76412" w:rsidRDefault="00EC7615">
      <w:pPr>
        <w:numPr>
          <w:ilvl w:val="0"/>
          <w:numId w:val="2"/>
        </w:numPr>
        <w:spacing w:after="168" w:line="252" w:lineRule="auto"/>
        <w:ind w:right="895" w:hanging="283"/>
        <w:jc w:val="both"/>
      </w:pPr>
      <w:r>
        <w:t xml:space="preserve">2015, junio (circular A 15 N° 06 Minsal). Desliga la atención de salud de la </w:t>
      </w:r>
      <w:r>
        <w:t>tramitación de permisos de residencia. Los establecimientos integrantes del Sistema Público de Salud brindarán las atenciones y prestaciones de salud que sean necesarias a los extranjeros que estén en el país en calidad de migrantes y no cuenten con otra v</w:t>
      </w:r>
      <w:r>
        <w:t>ía de acceso a salud y que carezcan de documentos o permisos de permanencia, en los siguientes casos:</w:t>
      </w:r>
      <w:r>
        <w:rPr>
          <w:color w:val="000000"/>
        </w:rPr>
        <w:t xml:space="preserve"> </w:t>
      </w:r>
    </w:p>
    <w:p w:rsidR="00A76412" w:rsidRDefault="00EC7615">
      <w:pPr>
        <w:ind w:left="1003" w:right="895"/>
        <w:jc w:val="both"/>
      </w:pPr>
      <w:r>
        <w:t>Mujeres durante el embarazo, el parto y post parto hasta los 12 meses desde éste. Todas las prestaciones de salud que requieran incluidas las del program</w:t>
      </w:r>
      <w:r>
        <w:t>a de apoyo al desarrollo biopsicosocial (PADBP) y las del programa de apoyo al recién nacido (PARN).</w:t>
      </w:r>
      <w:r>
        <w:rPr>
          <w:color w:val="000000"/>
        </w:rPr>
        <w:t xml:space="preserve"> </w:t>
      </w:r>
    </w:p>
    <w:p w:rsidR="00A76412" w:rsidRDefault="00EC7615">
      <w:pPr>
        <w:ind w:left="1003" w:right="895"/>
        <w:jc w:val="both"/>
      </w:pPr>
      <w:r>
        <w:t xml:space="preserve">Niños hasta los 18 años de edad, todas las prestaciones de salud que requieran incluidas las del programa de apoyo al desarrollo biopsicosocial (PADBP) y </w:t>
      </w:r>
      <w:r>
        <w:t>las del programa de apoyo al recién nacido (PARN).</w:t>
      </w:r>
      <w:r>
        <w:rPr>
          <w:color w:val="000000"/>
        </w:rPr>
        <w:t xml:space="preserve"> </w:t>
      </w:r>
    </w:p>
    <w:p w:rsidR="00A76412" w:rsidRDefault="00EC7615">
      <w:pPr>
        <w:ind w:left="1003" w:right="895"/>
        <w:jc w:val="both"/>
      </w:pPr>
      <w:r>
        <w:t>Casos de urgencia médica. Atención a todas las personas, sólo se podrán cobrar en los casos en que el afectado declare que le es posible pagar la prestación recibida.</w:t>
      </w:r>
      <w:r>
        <w:rPr>
          <w:color w:val="000000"/>
        </w:rPr>
        <w:t xml:space="preserve"> </w:t>
      </w:r>
    </w:p>
    <w:p w:rsidR="00A76412" w:rsidRDefault="00EC7615">
      <w:pPr>
        <w:spacing w:after="124"/>
        <w:ind w:left="1003" w:right="895"/>
        <w:jc w:val="both"/>
      </w:pPr>
      <w:r>
        <w:t>Prestaciones de salud pública: métodos de regulación de la fertilidad incluida la anticoncepción de emergencia, vacunas, atención de enfermedades transmisibles: TBC, VIH/SIDA, ITS, educación sanitaria.</w:t>
      </w:r>
      <w:r>
        <w:rPr>
          <w:color w:val="000000"/>
        </w:rPr>
        <w:t xml:space="preserve"> </w:t>
      </w:r>
    </w:p>
    <w:p w:rsidR="00A76412" w:rsidRDefault="00EC7615">
      <w:pPr>
        <w:numPr>
          <w:ilvl w:val="0"/>
          <w:numId w:val="2"/>
        </w:numPr>
        <w:spacing w:after="129" w:line="252" w:lineRule="auto"/>
        <w:ind w:right="895" w:hanging="283"/>
        <w:jc w:val="both"/>
      </w:pPr>
      <w:r>
        <w:t>2016, marzo (Decreto supremo N° 67). Agrega una circu</w:t>
      </w:r>
      <w:r>
        <w:t>nstancia más al artículo 2° del Decreto 110 del año 2004, donde se fijan las circunstancias y los mecanismos para acreditar la situación de carencia de recursos o indigencia de las y los beneficiarios del sistema público de salud a través de FONASA; la clá</w:t>
      </w:r>
      <w:r>
        <w:t xml:space="preserve">usula </w:t>
      </w:r>
      <w:r>
        <w:rPr>
          <w:rFonts w:ascii="Cambria" w:eastAsia="Cambria" w:hAnsi="Cambria" w:cs="Cambria"/>
        </w:rPr>
        <w:t>en cuestión, señala que al “.Tratarse de una persona inmigrante que carece de documentos o</w:t>
      </w:r>
      <w:r>
        <w:t xml:space="preserve"> permisos de </w:t>
      </w:r>
      <w:r>
        <w:rPr>
          <w:rFonts w:ascii="Cambria" w:eastAsia="Cambria" w:hAnsi="Cambria" w:cs="Cambria"/>
        </w:rPr>
        <w:t>residencia, que suscribe un documento declarando su carencia de recursos”, deb</w:t>
      </w:r>
      <w:r>
        <w:t>e ser considerado como beneficiario Tramo A.</w:t>
      </w:r>
      <w:r>
        <w:rPr>
          <w:color w:val="000000"/>
        </w:rPr>
        <w:t xml:space="preserve"> </w:t>
      </w:r>
    </w:p>
    <w:p w:rsidR="00A76412" w:rsidRDefault="00EC7615">
      <w:pPr>
        <w:numPr>
          <w:ilvl w:val="0"/>
          <w:numId w:val="2"/>
        </w:numPr>
        <w:spacing w:after="39" w:line="252" w:lineRule="auto"/>
        <w:ind w:right="895" w:hanging="283"/>
        <w:jc w:val="both"/>
      </w:pPr>
      <w:r>
        <w:t>2016, junio (circular A</w:t>
      </w:r>
      <w:r>
        <w:t xml:space="preserve"> 15/04 Minsal). Circular que aclara los mecanismos para la implementación del Decreto 67, estableciendo el procedimiento para la atención de salud de inmigrantes irregulares y carentes de recursos.</w:t>
      </w:r>
      <w:r>
        <w:rPr>
          <w:color w:val="000000"/>
        </w:rPr>
        <w:t xml:space="preserve"> </w:t>
      </w:r>
    </w:p>
    <w:p w:rsidR="00A76412" w:rsidRDefault="00EC7615">
      <w:pPr>
        <w:spacing w:after="0"/>
        <w:jc w:val="both"/>
      </w:pPr>
      <w:r>
        <w:rPr>
          <w:color w:val="000000"/>
          <w:sz w:val="26"/>
          <w:szCs w:val="26"/>
        </w:rPr>
        <w:t xml:space="preserve"> </w:t>
      </w:r>
    </w:p>
    <w:p w:rsidR="00A76412" w:rsidRPr="00F71E6A" w:rsidRDefault="00EC7615">
      <w:pPr>
        <w:pStyle w:val="Ttulo2"/>
        <w:ind w:left="1003"/>
        <w:jc w:val="both"/>
        <w:rPr>
          <w:rFonts w:asciiTheme="minorHAnsi" w:hAnsiTheme="minorHAnsi"/>
        </w:rPr>
      </w:pPr>
      <w:r w:rsidRPr="00F71E6A">
        <w:rPr>
          <w:rFonts w:asciiTheme="minorHAnsi" w:hAnsiTheme="minorHAnsi"/>
        </w:rPr>
        <w:t xml:space="preserve">Política de </w:t>
      </w:r>
      <w:bookmarkStart w:id="1" w:name="_GoBack"/>
      <w:bookmarkEnd w:id="1"/>
      <w:r w:rsidRPr="00F71E6A">
        <w:rPr>
          <w:rFonts w:asciiTheme="minorHAnsi" w:hAnsiTheme="minorHAnsi"/>
        </w:rPr>
        <w:t>Salud Migrantes Internacionales</w:t>
      </w:r>
      <w:r w:rsidRPr="00F71E6A">
        <w:rPr>
          <w:rFonts w:asciiTheme="minorHAnsi" w:hAnsiTheme="minorHAnsi"/>
        </w:rPr>
        <w:t xml:space="preserve"> </w:t>
      </w:r>
    </w:p>
    <w:p w:rsidR="00A76412" w:rsidRDefault="00EC7615">
      <w:pPr>
        <w:ind w:left="1003" w:right="895"/>
        <w:jc w:val="both"/>
      </w:pPr>
      <w:r>
        <w:t>En octubre 2017 se aprobó bajo resolución exenta N° 1308, la Política de Salud de Migrantes Internacionales. El propósito de la Política es contribuir a alcanzar el máximo estado de salud de los migrantes internacionales, con equidad, enmarcado en el enfoq</w:t>
      </w:r>
      <w:r>
        <w:t>ue de derechos humanos.</w:t>
      </w:r>
      <w:r>
        <w:rPr>
          <w:color w:val="000000"/>
        </w:rPr>
        <w:t xml:space="preserve"> </w:t>
      </w:r>
    </w:p>
    <w:p w:rsidR="00A76412" w:rsidRPr="00F71E6A" w:rsidRDefault="00EC7615" w:rsidP="00F71E6A">
      <w:pPr>
        <w:pStyle w:val="Ttulo2"/>
        <w:ind w:left="1003"/>
        <w:jc w:val="both"/>
        <w:rPr>
          <w:rFonts w:asciiTheme="minorHAnsi" w:hAnsiTheme="minorHAnsi"/>
        </w:rPr>
      </w:pPr>
      <w:r w:rsidRPr="00F71E6A">
        <w:rPr>
          <w:rFonts w:asciiTheme="minorHAnsi" w:hAnsiTheme="minorHAnsi"/>
        </w:rPr>
        <w:t>Objetivos Específicos</w:t>
      </w:r>
      <w:r w:rsidRPr="00F71E6A">
        <w:rPr>
          <w:rFonts w:asciiTheme="minorHAnsi" w:hAnsiTheme="minorHAnsi"/>
        </w:rPr>
        <w:t xml:space="preserve"> </w:t>
      </w:r>
    </w:p>
    <w:p w:rsidR="00A76412" w:rsidRPr="00F71E6A" w:rsidRDefault="00EC7615">
      <w:pPr>
        <w:numPr>
          <w:ilvl w:val="0"/>
          <w:numId w:val="3"/>
        </w:numPr>
        <w:spacing w:after="168" w:line="252" w:lineRule="auto"/>
        <w:ind w:right="895" w:hanging="340"/>
        <w:jc w:val="both"/>
        <w:rPr>
          <w:rFonts w:asciiTheme="minorHAnsi" w:hAnsiTheme="minorHAnsi"/>
        </w:rPr>
      </w:pPr>
      <w:r w:rsidRPr="00F71E6A">
        <w:rPr>
          <w:rFonts w:asciiTheme="minorHAnsi" w:hAnsiTheme="minorHAnsi"/>
        </w:rPr>
        <w:t>Promover la participación de las personas migrantes internacionales en el desarrollo, seguimiento y evaluación de las políticas y programas sanitarios que los involucren.</w:t>
      </w:r>
      <w:r w:rsidRPr="00F71E6A">
        <w:rPr>
          <w:rFonts w:asciiTheme="minorHAnsi" w:hAnsiTheme="minorHAnsi"/>
          <w:color w:val="000000"/>
        </w:rPr>
        <w:t xml:space="preserve"> </w:t>
      </w:r>
    </w:p>
    <w:p w:rsidR="00A76412" w:rsidRPr="00F71E6A" w:rsidRDefault="00EC7615">
      <w:pPr>
        <w:numPr>
          <w:ilvl w:val="0"/>
          <w:numId w:val="3"/>
        </w:numPr>
        <w:spacing w:after="168" w:line="252" w:lineRule="auto"/>
        <w:ind w:right="895" w:hanging="340"/>
        <w:jc w:val="both"/>
        <w:rPr>
          <w:rFonts w:asciiTheme="minorHAnsi" w:hAnsiTheme="minorHAnsi"/>
        </w:rPr>
      </w:pPr>
      <w:r w:rsidRPr="00F71E6A">
        <w:rPr>
          <w:rFonts w:asciiTheme="minorHAnsi" w:hAnsiTheme="minorHAnsi"/>
        </w:rPr>
        <w:lastRenderedPageBreak/>
        <w:t>Garantizar el acceso equitativo a la</w:t>
      </w:r>
      <w:r w:rsidRPr="00F71E6A">
        <w:rPr>
          <w:rFonts w:asciiTheme="minorHAnsi" w:hAnsiTheme="minorHAnsi"/>
        </w:rPr>
        <w:t xml:space="preserve"> promoción, la prevención y la atención de salud a las personas migrantes internacionales.</w:t>
      </w:r>
      <w:r w:rsidRPr="00F71E6A">
        <w:rPr>
          <w:rFonts w:asciiTheme="minorHAnsi" w:hAnsiTheme="minorHAnsi"/>
          <w:color w:val="000000"/>
        </w:rPr>
        <w:t xml:space="preserve"> </w:t>
      </w:r>
    </w:p>
    <w:p w:rsidR="00A76412" w:rsidRPr="00F71E6A" w:rsidRDefault="00EC7615">
      <w:pPr>
        <w:numPr>
          <w:ilvl w:val="0"/>
          <w:numId w:val="3"/>
        </w:numPr>
        <w:spacing w:after="168" w:line="252" w:lineRule="auto"/>
        <w:ind w:right="895"/>
        <w:jc w:val="both"/>
        <w:rPr>
          <w:rFonts w:asciiTheme="minorHAnsi" w:hAnsiTheme="minorHAnsi"/>
        </w:rPr>
      </w:pPr>
      <w:r w:rsidRPr="00F71E6A">
        <w:rPr>
          <w:rFonts w:asciiTheme="minorHAnsi" w:hAnsiTheme="minorHAnsi"/>
        </w:rPr>
        <w:t>Caracterizar la situación de salud y sus tendencias, incluyendo el acceso a la atención de salud de personas migrantes internacionales.</w:t>
      </w:r>
      <w:r w:rsidRPr="00F71E6A">
        <w:rPr>
          <w:rFonts w:asciiTheme="minorHAnsi" w:hAnsiTheme="minorHAnsi"/>
          <w:color w:val="000000"/>
        </w:rPr>
        <w:t xml:space="preserve"> </w:t>
      </w:r>
    </w:p>
    <w:p w:rsidR="00A76412" w:rsidRPr="00F71E6A" w:rsidRDefault="00EC7615">
      <w:pPr>
        <w:numPr>
          <w:ilvl w:val="0"/>
          <w:numId w:val="3"/>
        </w:numPr>
        <w:spacing w:after="168" w:line="252" w:lineRule="auto"/>
        <w:ind w:right="895" w:hanging="340"/>
        <w:jc w:val="both"/>
        <w:rPr>
          <w:rFonts w:asciiTheme="minorHAnsi" w:hAnsiTheme="minorHAnsi"/>
        </w:rPr>
      </w:pPr>
      <w:r w:rsidRPr="00F71E6A">
        <w:rPr>
          <w:rFonts w:asciiTheme="minorHAnsi" w:hAnsiTheme="minorHAnsi"/>
        </w:rPr>
        <w:t>Favorecer el enfoque inters</w:t>
      </w:r>
      <w:r w:rsidRPr="00F71E6A">
        <w:rPr>
          <w:rFonts w:asciiTheme="minorHAnsi" w:hAnsiTheme="minorHAnsi"/>
        </w:rPr>
        <w:t xml:space="preserve">ectorial en la promoción de la salud de las personas migrantes internacionales </w:t>
      </w:r>
      <w:r w:rsidRPr="00F71E6A">
        <w:rPr>
          <w:rFonts w:asciiTheme="minorHAnsi" w:eastAsia="Cambria" w:hAnsiTheme="minorHAnsi" w:cs="Cambria"/>
        </w:rPr>
        <w:t xml:space="preserve">desde el concepto de “Salud en Todas las Políticas”, con la finalidad de buscar soluciones </w:t>
      </w:r>
      <w:r w:rsidRPr="00F71E6A">
        <w:rPr>
          <w:rFonts w:asciiTheme="minorHAnsi" w:hAnsiTheme="minorHAnsi"/>
        </w:rPr>
        <w:t>conjuntas que respondan a la complejidad de la migración.</w:t>
      </w:r>
      <w:r w:rsidRPr="00F71E6A">
        <w:rPr>
          <w:rFonts w:asciiTheme="minorHAnsi" w:hAnsiTheme="minorHAnsi"/>
          <w:color w:val="000000"/>
        </w:rPr>
        <w:t xml:space="preserve"> </w:t>
      </w:r>
    </w:p>
    <w:p w:rsidR="00A76412" w:rsidRPr="00F71E6A" w:rsidRDefault="00EC7615">
      <w:pPr>
        <w:numPr>
          <w:ilvl w:val="0"/>
          <w:numId w:val="3"/>
        </w:numPr>
        <w:spacing w:after="168" w:line="252" w:lineRule="auto"/>
        <w:ind w:right="895" w:hanging="340"/>
        <w:jc w:val="both"/>
        <w:rPr>
          <w:rFonts w:asciiTheme="minorHAnsi" w:hAnsiTheme="minorHAnsi"/>
        </w:rPr>
      </w:pPr>
      <w:r w:rsidRPr="00F71E6A">
        <w:rPr>
          <w:rFonts w:asciiTheme="minorHAnsi" w:hAnsiTheme="minorHAnsi"/>
        </w:rPr>
        <w:t>Desarrollar acciones que bu</w:t>
      </w:r>
      <w:r w:rsidRPr="00F71E6A">
        <w:rPr>
          <w:rFonts w:asciiTheme="minorHAnsi" w:hAnsiTheme="minorHAnsi"/>
        </w:rPr>
        <w:t>squen reducir desigualdades en salud que afectan a las personas migrantes internacionales.</w:t>
      </w:r>
      <w:r w:rsidRPr="00F71E6A">
        <w:rPr>
          <w:rFonts w:asciiTheme="minorHAnsi" w:hAnsiTheme="minorHAnsi"/>
          <w:color w:val="000000"/>
        </w:rPr>
        <w:t xml:space="preserve"> </w:t>
      </w:r>
    </w:p>
    <w:p w:rsidR="00A76412" w:rsidRPr="00F71E6A" w:rsidRDefault="00EC7615">
      <w:pPr>
        <w:numPr>
          <w:ilvl w:val="0"/>
          <w:numId w:val="3"/>
        </w:numPr>
        <w:spacing w:after="168" w:line="252" w:lineRule="auto"/>
        <w:ind w:right="895" w:hanging="340"/>
        <w:jc w:val="both"/>
        <w:rPr>
          <w:rFonts w:asciiTheme="minorHAnsi" w:hAnsiTheme="minorHAnsi"/>
        </w:rPr>
      </w:pPr>
      <w:r w:rsidRPr="00F71E6A">
        <w:rPr>
          <w:rFonts w:asciiTheme="minorHAnsi" w:hAnsiTheme="minorHAnsi"/>
        </w:rPr>
        <w:t>Promover acciones específicas para reducir la discriminación, xenofobia y estigmatización de las personas migrantes internacionales.</w:t>
      </w:r>
      <w:r w:rsidRPr="00F71E6A">
        <w:rPr>
          <w:rFonts w:asciiTheme="minorHAnsi" w:hAnsiTheme="minorHAnsi"/>
          <w:color w:val="000000"/>
        </w:rPr>
        <w:t xml:space="preserve"> </w:t>
      </w:r>
    </w:p>
    <w:p w:rsidR="00A76412" w:rsidRPr="00F71E6A" w:rsidRDefault="00EC7615">
      <w:pPr>
        <w:numPr>
          <w:ilvl w:val="0"/>
          <w:numId w:val="3"/>
        </w:numPr>
        <w:spacing w:after="168" w:line="252" w:lineRule="auto"/>
        <w:ind w:right="895" w:hanging="340"/>
        <w:jc w:val="both"/>
        <w:rPr>
          <w:rFonts w:asciiTheme="minorHAnsi" w:hAnsiTheme="minorHAnsi"/>
        </w:rPr>
      </w:pPr>
      <w:r w:rsidRPr="00F71E6A">
        <w:rPr>
          <w:rFonts w:asciiTheme="minorHAnsi" w:hAnsiTheme="minorHAnsi"/>
        </w:rPr>
        <w:t>Desarrollar estrategias de sal</w:t>
      </w:r>
      <w:r w:rsidRPr="00F71E6A">
        <w:rPr>
          <w:rFonts w:asciiTheme="minorHAnsi" w:hAnsiTheme="minorHAnsi"/>
        </w:rPr>
        <w:t>ud pertinentes que respondan a las necesidades de salud y particularidades culturales, lingüísticas, de género y ciclo de vida de las personas migrantes internacionales.</w:t>
      </w:r>
      <w:r w:rsidRPr="00F71E6A">
        <w:rPr>
          <w:rFonts w:asciiTheme="minorHAnsi" w:hAnsiTheme="minorHAnsi"/>
          <w:color w:val="000000"/>
        </w:rPr>
        <w:t xml:space="preserve"> </w:t>
      </w:r>
    </w:p>
    <w:p w:rsidR="00A76412" w:rsidRPr="00F71E6A" w:rsidRDefault="00EC7615">
      <w:pPr>
        <w:numPr>
          <w:ilvl w:val="0"/>
          <w:numId w:val="3"/>
        </w:numPr>
        <w:spacing w:after="39" w:line="252" w:lineRule="auto"/>
        <w:ind w:right="895" w:hanging="340"/>
        <w:jc w:val="both"/>
        <w:rPr>
          <w:rFonts w:asciiTheme="minorHAnsi" w:hAnsiTheme="minorHAnsi"/>
        </w:rPr>
      </w:pPr>
      <w:r w:rsidRPr="00F71E6A">
        <w:rPr>
          <w:rFonts w:asciiTheme="minorHAnsi" w:hAnsiTheme="minorHAnsi"/>
        </w:rPr>
        <w:t>Promover estrategias de salud que permitan el diálogo intercultural entre comunidades</w:t>
      </w:r>
      <w:r w:rsidRPr="00F71E6A">
        <w:rPr>
          <w:rFonts w:asciiTheme="minorHAnsi" w:hAnsiTheme="minorHAnsi"/>
        </w:rPr>
        <w:t xml:space="preserve"> diversas con la finalidad de favorecer la cohesión social.</w:t>
      </w:r>
      <w:r w:rsidRPr="00F71E6A">
        <w:rPr>
          <w:rFonts w:asciiTheme="minorHAnsi" w:hAnsiTheme="minorHAnsi"/>
          <w:color w:val="000000"/>
        </w:rPr>
        <w:t xml:space="preserve"> </w:t>
      </w:r>
    </w:p>
    <w:p w:rsidR="00A76412" w:rsidRPr="00F71E6A" w:rsidRDefault="00EC7615" w:rsidP="00F71E6A">
      <w:pPr>
        <w:pStyle w:val="Ttulo2"/>
        <w:ind w:left="1003"/>
        <w:jc w:val="both"/>
        <w:rPr>
          <w:rFonts w:asciiTheme="minorHAnsi" w:hAnsiTheme="minorHAnsi"/>
        </w:rPr>
      </w:pPr>
      <w:r>
        <w:rPr>
          <w:color w:val="000000"/>
          <w:szCs w:val="26"/>
        </w:rPr>
        <w:t xml:space="preserve"> </w:t>
      </w:r>
    </w:p>
    <w:p w:rsidR="00A76412" w:rsidRPr="00F71E6A" w:rsidRDefault="00EC7615">
      <w:pPr>
        <w:pStyle w:val="Ttulo2"/>
        <w:ind w:left="1003"/>
        <w:jc w:val="both"/>
        <w:rPr>
          <w:rFonts w:asciiTheme="minorHAnsi" w:hAnsiTheme="minorHAnsi"/>
        </w:rPr>
      </w:pPr>
      <w:r w:rsidRPr="00F71E6A">
        <w:rPr>
          <w:rFonts w:asciiTheme="minorHAnsi" w:hAnsiTheme="minorHAnsi"/>
        </w:rPr>
        <w:t>Lineamientos Estratégicos de Implementación de Política de Salud Migrantes</w:t>
      </w:r>
      <w:r w:rsidRPr="00F71E6A">
        <w:rPr>
          <w:rFonts w:asciiTheme="minorHAnsi" w:hAnsiTheme="minorHAnsi"/>
        </w:rPr>
        <w:t xml:space="preserve"> </w:t>
      </w:r>
    </w:p>
    <w:p w:rsidR="00A76412" w:rsidRPr="00F71E6A" w:rsidRDefault="00EC7615">
      <w:pPr>
        <w:ind w:left="1003" w:right="895"/>
        <w:jc w:val="both"/>
        <w:rPr>
          <w:rFonts w:asciiTheme="minorHAnsi" w:hAnsiTheme="minorHAnsi"/>
        </w:rPr>
      </w:pPr>
      <w:r w:rsidRPr="00F71E6A">
        <w:rPr>
          <w:rFonts w:asciiTheme="minorHAnsi" w:eastAsia="Cambria" w:hAnsiTheme="minorHAnsi" w:cs="Cambria"/>
          <w:b/>
        </w:rPr>
        <w:t xml:space="preserve">LE N° 1: </w:t>
      </w:r>
      <w:r w:rsidRPr="00F71E6A">
        <w:rPr>
          <w:rFonts w:asciiTheme="minorHAnsi" w:hAnsiTheme="minorHAnsi"/>
        </w:rPr>
        <w:t>Armonización y Adecuación del Marco Normativo.</w:t>
      </w:r>
      <w:r w:rsidRPr="00F71E6A">
        <w:rPr>
          <w:rFonts w:asciiTheme="minorHAnsi" w:hAnsiTheme="minorHAnsi"/>
          <w:color w:val="000000"/>
        </w:rPr>
        <w:t xml:space="preserve"> </w:t>
      </w:r>
    </w:p>
    <w:p w:rsidR="00A76412" w:rsidRPr="00F71E6A" w:rsidRDefault="00EC7615">
      <w:pPr>
        <w:ind w:left="1003" w:right="895"/>
        <w:jc w:val="both"/>
        <w:rPr>
          <w:rFonts w:asciiTheme="minorHAnsi" w:hAnsiTheme="minorHAnsi"/>
        </w:rPr>
      </w:pPr>
      <w:r w:rsidRPr="00F71E6A">
        <w:rPr>
          <w:rFonts w:asciiTheme="minorHAnsi" w:eastAsia="Cambria" w:hAnsiTheme="minorHAnsi" w:cs="Cambria"/>
          <w:b/>
        </w:rPr>
        <w:t xml:space="preserve">LE N° 2: </w:t>
      </w:r>
      <w:r w:rsidRPr="00F71E6A">
        <w:rPr>
          <w:rFonts w:asciiTheme="minorHAnsi" w:hAnsiTheme="minorHAnsi"/>
        </w:rPr>
        <w:t>Sistema Sensible a las Personas Migrantes: Accesibi</w:t>
      </w:r>
      <w:r w:rsidRPr="00F71E6A">
        <w:rPr>
          <w:rFonts w:asciiTheme="minorHAnsi" w:hAnsiTheme="minorHAnsi"/>
        </w:rPr>
        <w:t>lidad y Aceptabilidad en el Derecho a la Salud.</w:t>
      </w:r>
      <w:r w:rsidRPr="00F71E6A">
        <w:rPr>
          <w:rFonts w:asciiTheme="minorHAnsi" w:hAnsiTheme="minorHAnsi"/>
          <w:color w:val="000000"/>
        </w:rPr>
        <w:t xml:space="preserve"> </w:t>
      </w:r>
    </w:p>
    <w:p w:rsidR="00A76412" w:rsidRPr="00F71E6A" w:rsidRDefault="00EC7615">
      <w:pPr>
        <w:ind w:left="1003" w:right="895"/>
        <w:jc w:val="both"/>
        <w:rPr>
          <w:rFonts w:asciiTheme="minorHAnsi" w:hAnsiTheme="minorHAnsi"/>
        </w:rPr>
      </w:pPr>
      <w:r w:rsidRPr="00F71E6A">
        <w:rPr>
          <w:rFonts w:asciiTheme="minorHAnsi" w:eastAsia="Cambria" w:hAnsiTheme="minorHAnsi" w:cs="Cambria"/>
          <w:b/>
        </w:rPr>
        <w:t xml:space="preserve">LE N° 3: </w:t>
      </w:r>
      <w:r w:rsidRPr="00F71E6A">
        <w:rPr>
          <w:rFonts w:asciiTheme="minorHAnsi" w:hAnsiTheme="minorHAnsi"/>
        </w:rPr>
        <w:t>Abordaje integral de la salud de migrantes internacionales: sectorial e intersectorial.</w:t>
      </w:r>
      <w:r w:rsidRPr="00F71E6A">
        <w:rPr>
          <w:rFonts w:asciiTheme="minorHAnsi" w:hAnsiTheme="minorHAnsi"/>
          <w:color w:val="000000"/>
        </w:rPr>
        <w:t xml:space="preserve"> </w:t>
      </w:r>
    </w:p>
    <w:p w:rsidR="00A76412" w:rsidRPr="00F71E6A" w:rsidRDefault="00EC7615">
      <w:pPr>
        <w:ind w:left="1003" w:right="895"/>
        <w:jc w:val="both"/>
        <w:rPr>
          <w:rFonts w:asciiTheme="minorHAnsi" w:hAnsiTheme="minorHAnsi"/>
        </w:rPr>
      </w:pPr>
      <w:r w:rsidRPr="00F71E6A">
        <w:rPr>
          <w:rFonts w:asciiTheme="minorHAnsi" w:eastAsia="Cambria" w:hAnsiTheme="minorHAnsi" w:cs="Cambria"/>
          <w:b/>
        </w:rPr>
        <w:t xml:space="preserve">LE N° 4: </w:t>
      </w:r>
      <w:proofErr w:type="spellStart"/>
      <w:r w:rsidRPr="00F71E6A">
        <w:rPr>
          <w:rFonts w:asciiTheme="minorHAnsi" w:hAnsiTheme="minorHAnsi"/>
        </w:rPr>
        <w:t>Transversalización</w:t>
      </w:r>
      <w:proofErr w:type="spellEnd"/>
      <w:r w:rsidRPr="00F71E6A">
        <w:rPr>
          <w:rFonts w:asciiTheme="minorHAnsi" w:hAnsiTheme="minorHAnsi"/>
        </w:rPr>
        <w:t xml:space="preserve"> de la salud de los migrantes internacionales en los programas de intervenciones de salud.</w:t>
      </w:r>
      <w:r w:rsidRPr="00F71E6A">
        <w:rPr>
          <w:rFonts w:asciiTheme="minorHAnsi" w:hAnsiTheme="minorHAnsi"/>
          <w:color w:val="000000"/>
        </w:rPr>
        <w:t xml:space="preserve"> </w:t>
      </w:r>
    </w:p>
    <w:p w:rsidR="00A76412" w:rsidRPr="00F71E6A" w:rsidRDefault="00EC7615">
      <w:pPr>
        <w:ind w:left="1003" w:right="895"/>
        <w:jc w:val="both"/>
        <w:rPr>
          <w:rFonts w:asciiTheme="minorHAnsi" w:hAnsiTheme="minorHAnsi"/>
        </w:rPr>
      </w:pPr>
      <w:r w:rsidRPr="00F71E6A">
        <w:rPr>
          <w:rFonts w:asciiTheme="minorHAnsi" w:eastAsia="Cambria" w:hAnsiTheme="minorHAnsi" w:cs="Cambria"/>
          <w:b/>
        </w:rPr>
        <w:t xml:space="preserve">LE N°5: </w:t>
      </w:r>
      <w:r w:rsidRPr="00F71E6A">
        <w:rPr>
          <w:rFonts w:asciiTheme="minorHAnsi" w:hAnsiTheme="minorHAnsi"/>
        </w:rPr>
        <w:t>Monitoreo, Seguimiento e información de Salud</w:t>
      </w:r>
      <w:r w:rsidRPr="00F71E6A">
        <w:rPr>
          <w:rFonts w:asciiTheme="minorHAnsi" w:hAnsiTheme="minorHAnsi"/>
          <w:color w:val="000000"/>
        </w:rPr>
        <w:t xml:space="preserve"> </w:t>
      </w:r>
    </w:p>
    <w:p w:rsidR="00A76412" w:rsidRPr="00F71E6A" w:rsidRDefault="00EC7615">
      <w:pPr>
        <w:ind w:left="1003" w:right="895"/>
        <w:jc w:val="both"/>
        <w:rPr>
          <w:rFonts w:asciiTheme="minorHAnsi" w:hAnsiTheme="minorHAnsi"/>
        </w:rPr>
      </w:pPr>
      <w:r w:rsidRPr="00F71E6A">
        <w:rPr>
          <w:rFonts w:asciiTheme="minorHAnsi" w:eastAsia="Cambria" w:hAnsiTheme="minorHAnsi" w:cs="Cambria"/>
          <w:b/>
        </w:rPr>
        <w:t xml:space="preserve">LE N° 6: </w:t>
      </w:r>
      <w:r w:rsidRPr="00F71E6A">
        <w:rPr>
          <w:rFonts w:asciiTheme="minorHAnsi" w:hAnsiTheme="minorHAnsi"/>
        </w:rPr>
        <w:t>Trabajo, salud y migración</w:t>
      </w:r>
      <w:r w:rsidRPr="00F71E6A">
        <w:rPr>
          <w:rFonts w:asciiTheme="minorHAnsi" w:hAnsiTheme="minorHAnsi"/>
          <w:color w:val="000000"/>
        </w:rPr>
        <w:t xml:space="preserve"> </w:t>
      </w:r>
    </w:p>
    <w:p w:rsidR="00A76412" w:rsidRPr="00F71E6A" w:rsidRDefault="00EC7615">
      <w:pPr>
        <w:ind w:left="1003" w:right="895"/>
        <w:jc w:val="both"/>
        <w:rPr>
          <w:rFonts w:asciiTheme="minorHAnsi" w:hAnsiTheme="minorHAnsi"/>
        </w:rPr>
      </w:pPr>
      <w:r w:rsidRPr="00F71E6A">
        <w:rPr>
          <w:rFonts w:asciiTheme="minorHAnsi" w:eastAsia="Cambria" w:hAnsiTheme="minorHAnsi" w:cs="Cambria"/>
          <w:b/>
        </w:rPr>
        <w:t xml:space="preserve">LE N° 7: </w:t>
      </w:r>
      <w:r w:rsidRPr="00F71E6A">
        <w:rPr>
          <w:rFonts w:asciiTheme="minorHAnsi" w:hAnsiTheme="minorHAnsi"/>
        </w:rPr>
        <w:t>Comunicación y desarrollo de acciones en contra la discriminación xenofobia y estigmatización de las personas migrantes.</w:t>
      </w:r>
    </w:p>
    <w:sectPr w:rsidR="00A76412" w:rsidRPr="00F71E6A">
      <w:footerReference w:type="even" r:id="rId9"/>
      <w:footerReference w:type="default" r:id="rId10"/>
      <w:footerReference w:type="first" r:id="rId11"/>
      <w:pgSz w:w="12240" w:h="15840"/>
      <w:pgMar w:top="460" w:right="332" w:bottom="795" w:left="2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615" w:rsidRDefault="00EC7615">
      <w:pPr>
        <w:spacing w:after="0" w:line="240" w:lineRule="auto"/>
      </w:pPr>
      <w:r>
        <w:separator/>
      </w:r>
    </w:p>
  </w:endnote>
  <w:endnote w:type="continuationSeparator" w:id="0">
    <w:p w:rsidR="00EC7615" w:rsidRDefault="00EC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12" w:rsidRDefault="00EC7615">
    <w:pPr>
      <w:spacing w:after="0"/>
    </w:pPr>
    <w:r>
      <w:rPr>
        <w:rFonts w:ascii="Tahoma" w:eastAsia="Tahoma" w:hAnsi="Tahoma" w:cs="Tahoma"/>
        <w:color w:val="000000"/>
        <w:sz w:val="19"/>
        <w:szCs w:val="19"/>
      </w:rPr>
      <w:t xml:space="preserve"> </w:t>
    </w:r>
    <w:r>
      <w:rPr>
        <w:rFonts w:ascii="Tahoma" w:eastAsia="Tahoma" w:hAnsi="Tahoma" w:cs="Tahoma"/>
        <w:color w:val="000000"/>
        <w:sz w:val="19"/>
        <w:szCs w:val="19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2159000</wp:posOffset>
              </wp:positionH>
              <wp:positionV relativeFrom="paragraph">
                <wp:posOffset>9931400</wp:posOffset>
              </wp:positionV>
              <wp:extent cx="1292225" cy="118745"/>
              <wp:effectExtent l="0" t="0" r="0" b="0"/>
              <wp:wrapSquare wrapText="bothSides" distT="0" distB="0" distL="114300" distR="114300"/>
              <wp:docPr id="12696" name="Grupo 12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2225" cy="118745"/>
                        <a:chOff x="4699888" y="3720628"/>
                        <a:chExt cx="1292225" cy="118745"/>
                      </a:xfrm>
                    </wpg:grpSpPr>
                    <wpg:grpSp>
                      <wpg:cNvPr id="9" name="Grupo 9"/>
                      <wpg:cNvGrpSpPr/>
                      <wpg:grpSpPr>
                        <a:xfrm>
                          <a:off x="4699888" y="3720628"/>
                          <a:ext cx="1292225" cy="118745"/>
                          <a:chOff x="0" y="0"/>
                          <a:chExt cx="1292225" cy="118745"/>
                        </a:xfrm>
                      </wpg:grpSpPr>
                      <wps:wsp>
                        <wps:cNvPr id="10" name="Rectángulo 10"/>
                        <wps:cNvSpPr/>
                        <wps:spPr>
                          <a:xfrm>
                            <a:off x="0" y="0"/>
                            <a:ext cx="1292225" cy="11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76412" w:rsidRDefault="00A7641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Forma libre 11"/>
                        <wps:cNvSpPr/>
                        <wps:spPr>
                          <a:xfrm>
                            <a:off x="0" y="0"/>
                            <a:ext cx="52959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118745" extrusionOk="0">
                                <a:moveTo>
                                  <a:pt x="0" y="0"/>
                                </a:moveTo>
                                <a:lnTo>
                                  <a:pt x="529590" y="0"/>
                                </a:lnTo>
                                <a:lnTo>
                                  <a:pt x="529590" y="118745"/>
                                </a:lnTo>
                                <a:lnTo>
                                  <a:pt x="0" y="118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63A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Forma libre 12"/>
                        <wps:cNvSpPr/>
                        <wps:spPr>
                          <a:xfrm>
                            <a:off x="529590" y="0"/>
                            <a:ext cx="76263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635" h="118745" extrusionOk="0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  <a:lnTo>
                                  <a:pt x="762635" y="118745"/>
                                </a:lnTo>
                                <a:lnTo>
                                  <a:pt x="0" y="118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7343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12696" o:spid="_x0000_s1026" style="position:absolute;margin-left:170pt;margin-top:782pt;width:101.75pt;height:9.35pt;z-index:251660288" coordorigin="46998,37206" coordsize="12922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">
              <v:group id="Grupo 9" o:spid="_x0000_s1027" style="position:absolute;left:46998;top:37206;width:12923;height:1187" coordsize="12922,1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rect id="Rectángulo 10" o:spid="_x0000_s1028" style="position:absolute;width:12922;height:1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No8MA&#10;AADbAAAADwAAAGRycy9kb3ducmV2LnhtbESPQW/CMAyF75P4D5GRdhspFUJbISCYhrTttBV+gGlM&#10;U9E4XZNB9+/nAxI3W+/5vc/L9eBbdaE+NoENTCcZKOIq2IZrA4f97ukZVEzIFtvAZOCPIqxXo4cl&#10;FjZc+ZsuZaqVhHAs0IBLqSu0jpUjj3ESOmLRTqH3mGTta217vEq4b3WeZXPtsWFpcNjRq6PqXP56&#10;A1+zQPlbHrdl7V/ccNx/fvzg3JjH8bBZgEo0pLv5dv1uBV/o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aNo8MAAADbAAAADwAAAAAAAAAAAAAAAACYAgAAZHJzL2Rv&#10;d25yZXYueG1sUEsFBgAAAAAEAAQA9QAAAIgDAAAAAA==&#10;" filled="f" stroked="f">
                  <v:textbox inset="2.53958mm,2.53958mm,2.53958mm,2.53958mm">
                    <w:txbxContent>
                      <w:p w:rsidR="00A76412" w:rsidRDefault="00A7641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bre 11" o:spid="_x0000_s1029" style="position:absolute;width:5295;height:1187;visibility:visible;mso-wrap-style:square;v-text-anchor:middle" coordsize="529590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ehMMA&#10;AADbAAAADwAAAGRycy9kb3ducmV2LnhtbERPTWvCQBC9C/0PyxR6Ed0khyIxawiGlh6kULWH3obs&#10;mASzs+nuqum/7xYK3ubxPqcoJzOIKznfW1aQLhMQxI3VPbcKjoeXxQqED8gaB8uk4Ic8lJuHWYG5&#10;tjf+oOs+tCKGsM9RQRfCmEvpm44M+qUdiSN3ss5giNC1Uju8xXAzyCxJnqXBnmNDhyNtO2rO+4tR&#10;8FWN2eUzrd2c0u/X7Xu9q7N2p9TT41StQQSawl38737TcX4Kf7/E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yehMMAAADbAAAADwAAAAAAAAAAAAAAAACYAgAAZHJzL2Rv&#10;d25yZXYueG1sUEsFBgAAAAAEAAQA9QAAAIgDAAAAAA==&#10;" path="m,l529590,r,118745l,118745,,e" fillcolor="#0063af" stroked="f">
                  <v:path arrowok="t" o:extrusionok="f"/>
                </v:shape>
                <v:shape id="Forma libre 12" o:spid="_x0000_s1030" style="position:absolute;left:5295;width:7627;height:1187;visibility:visible;mso-wrap-style:square;v-text-anchor:middle" coordsize="76263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7eMcMA&#10;AADbAAAADwAAAGRycy9kb3ducmV2LnhtbERPS2vCQBC+F/wPywi91Y2CrUY3QVqEXnpQS6m3ITtu&#10;otnZkN3m8e+7QqG3+fies80HW4uOWl85VjCfJSCIC6crNgo+T/unFQgfkDXWjknBSB7ybPKwxVS7&#10;ng/UHYMRMYR9igrKEJpUSl+UZNHPXEMcuYtrLYYIWyN1i30Mt7VcJMmztFhxbCixodeSitvxxyo4&#10;f3z1Y2XWL6vd9fq93Js3u+xPSj1Oh90GRKAh/Iv/3O86zl/A/Zd4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7eMcMAAADbAAAADwAAAAAAAAAAAAAAAACYAgAAZHJzL2Rv&#10;d25yZXYueG1sUEsFBgAAAAAEAAQA9QAAAIgDAAAAAA==&#10;" path="m,l762635,r,118745l,118745,,e" fillcolor="#e73439" stroked="f">
                  <v:path arrowok="t" o:extrusionok="f"/>
                </v:shape>
              </v:group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12" w:rsidRDefault="00EC7615">
    <w:pPr>
      <w:spacing w:after="0"/>
    </w:pPr>
    <w:r>
      <w:rPr>
        <w:rFonts w:ascii="Tahoma" w:eastAsia="Tahoma" w:hAnsi="Tahoma" w:cs="Tahoma"/>
        <w:color w:val="000000"/>
        <w:sz w:val="19"/>
        <w:szCs w:val="19"/>
      </w:rPr>
      <w:t xml:space="preserve"> </w:t>
    </w:r>
    <w:r>
      <w:rPr>
        <w:rFonts w:ascii="Tahoma" w:eastAsia="Tahoma" w:hAnsi="Tahoma" w:cs="Tahoma"/>
        <w:color w:val="000000"/>
        <w:sz w:val="19"/>
        <w:szCs w:val="19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2159000</wp:posOffset>
              </wp:positionH>
              <wp:positionV relativeFrom="paragraph">
                <wp:posOffset>9931400</wp:posOffset>
              </wp:positionV>
              <wp:extent cx="1292225" cy="118745"/>
              <wp:effectExtent l="0" t="0" r="0" b="0"/>
              <wp:wrapSquare wrapText="bothSides" distT="0" distB="0" distL="114300" distR="114300"/>
              <wp:docPr id="12697" name="Grupo 126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2225" cy="118745"/>
                        <a:chOff x="4699888" y="3720628"/>
                        <a:chExt cx="1292225" cy="118745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699888" y="3720628"/>
                          <a:ext cx="1292225" cy="118745"/>
                          <a:chOff x="0" y="0"/>
                          <a:chExt cx="1292225" cy="11874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1292225" cy="11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76412" w:rsidRDefault="00A7641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Forma libre 3"/>
                        <wps:cNvSpPr/>
                        <wps:spPr>
                          <a:xfrm>
                            <a:off x="0" y="0"/>
                            <a:ext cx="52959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118745" extrusionOk="0">
                                <a:moveTo>
                                  <a:pt x="0" y="0"/>
                                </a:moveTo>
                                <a:lnTo>
                                  <a:pt x="529590" y="0"/>
                                </a:lnTo>
                                <a:lnTo>
                                  <a:pt x="529590" y="118745"/>
                                </a:lnTo>
                                <a:lnTo>
                                  <a:pt x="0" y="118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63A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orma libre 4"/>
                        <wps:cNvSpPr/>
                        <wps:spPr>
                          <a:xfrm>
                            <a:off x="529590" y="0"/>
                            <a:ext cx="76263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635" h="118745" extrusionOk="0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  <a:lnTo>
                                  <a:pt x="762635" y="118745"/>
                                </a:lnTo>
                                <a:lnTo>
                                  <a:pt x="0" y="118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7343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12697" o:spid="_x0000_s1031" style="position:absolute;margin-left:170pt;margin-top:782pt;width:101.75pt;height:9.35pt;z-index:251658240" coordorigin="46998,37206" coordsize="12922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">
              <v:group id="Grupo 1" o:spid="_x0000_s1032" style="position:absolute;left:46998;top:37206;width:12923;height:1187" coordsize="12922,1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ángulo 2" o:spid="_x0000_s1033" style="position:absolute;width:12922;height:1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:rsidR="00A76412" w:rsidRDefault="00A7641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bre 3" o:spid="_x0000_s1034" style="position:absolute;width:5295;height:1187;visibility:visible;mso-wrap-style:square;v-text-anchor:middle" coordsize="529590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UPsQA&#10;AADaAAAADwAAAGRycy9kb3ducmV2LnhtbESPQWvCQBSE74L/YXlCL6KbpCAluooYWnqQglYP3h7Z&#10;ZxLMvo27q6b/vlsoeBxm5htmsepNK+7kfGNZQTpNQBCXVjdcKTh8v0/eQPiArLG1TAp+yMNqORws&#10;MNf2wTu670MlIoR9jgrqELpcSl/WZNBPbUccvbN1BkOUrpLa4SPCTSuzJJlJgw3HhRo72tRUXvY3&#10;o+C07rLbMS3cmNLrx+ar2BZZtVXqZdSv5yAC9eEZ/m9/agWv8Hcl3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1lD7EAAAA2gAAAA8AAAAAAAAAAAAAAAAAmAIAAGRycy9k&#10;b3ducmV2LnhtbFBLBQYAAAAABAAEAPUAAACJAwAAAAA=&#10;" path="m,l529590,r,118745l,118745,,e" fillcolor="#0063af" stroked="f">
                  <v:path arrowok="t" o:extrusionok="f"/>
                </v:shape>
                <v:shape id="Forma libre 4" o:spid="_x0000_s1035" style="position:absolute;left:5295;width:7627;height:1187;visibility:visible;mso-wrap-style:square;v-text-anchor:middle" coordsize="76263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DQ8UA&#10;AADaAAAADwAAAGRycy9kb3ducmV2LnhtbESPQWvCQBSE7wX/w/KE3upGqa1N3YgogV560JSit0f2&#10;uYlm34bs1sR/3xUKPQ4z8w2zXA22EVfqfO1YwXSSgCAuna7ZKPgq8qcFCB+QNTaOScGNPKyy0cMS&#10;U+163tF1H4yIEPYpKqhCaFMpfVmRRT9xLXH0Tq6zGKLsjNQd9hFuGzlLkhdpsea4UGFLm4rKy/7H&#10;Kjh+fve32ry9Ltbn82Gem62d94VSj+Nh/Q4i0BD+w3/tD63gGe5X4g2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0NDxQAAANoAAAAPAAAAAAAAAAAAAAAAAJgCAABkcnMv&#10;ZG93bnJldi54bWxQSwUGAAAAAAQABAD1AAAAigMAAAAA&#10;" path="m,l762635,r,118745l,118745,,e" fillcolor="#e73439" stroked="f">
                  <v:path arrowok="t" o:extrusionok="f"/>
                </v:shape>
              </v:group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12" w:rsidRDefault="00EC7615">
    <w:pPr>
      <w:spacing w:after="0"/>
    </w:pPr>
    <w:r>
      <w:rPr>
        <w:rFonts w:ascii="Tahoma" w:eastAsia="Tahoma" w:hAnsi="Tahoma" w:cs="Tahoma"/>
        <w:color w:val="000000"/>
        <w:sz w:val="19"/>
        <w:szCs w:val="19"/>
      </w:rPr>
      <w:t xml:space="preserve"> </w:t>
    </w:r>
    <w:r>
      <w:rPr>
        <w:rFonts w:ascii="Tahoma" w:eastAsia="Tahoma" w:hAnsi="Tahoma" w:cs="Tahoma"/>
        <w:color w:val="000000"/>
        <w:sz w:val="19"/>
        <w:szCs w:val="19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2159000</wp:posOffset>
              </wp:positionH>
              <wp:positionV relativeFrom="paragraph">
                <wp:posOffset>9931400</wp:posOffset>
              </wp:positionV>
              <wp:extent cx="1292225" cy="118745"/>
              <wp:effectExtent l="0" t="0" r="0" b="0"/>
              <wp:wrapSquare wrapText="bothSides" distT="0" distB="0" distL="114300" distR="114300"/>
              <wp:docPr id="12698" name="Grupo 126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2225" cy="118745"/>
                        <a:chOff x="4699888" y="3720628"/>
                        <a:chExt cx="1292225" cy="118745"/>
                      </a:xfrm>
                    </wpg:grpSpPr>
                    <wpg:grpSp>
                      <wpg:cNvPr id="5" name="Grupo 5"/>
                      <wpg:cNvGrpSpPr/>
                      <wpg:grpSpPr>
                        <a:xfrm>
                          <a:off x="4699888" y="3720628"/>
                          <a:ext cx="1292225" cy="118745"/>
                          <a:chOff x="0" y="0"/>
                          <a:chExt cx="1292225" cy="118745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0" y="0"/>
                            <a:ext cx="1292225" cy="11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76412" w:rsidRDefault="00A7641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orma libre 7"/>
                        <wps:cNvSpPr/>
                        <wps:spPr>
                          <a:xfrm>
                            <a:off x="0" y="0"/>
                            <a:ext cx="52959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118745" extrusionOk="0">
                                <a:moveTo>
                                  <a:pt x="0" y="0"/>
                                </a:moveTo>
                                <a:lnTo>
                                  <a:pt x="529590" y="0"/>
                                </a:lnTo>
                                <a:lnTo>
                                  <a:pt x="529590" y="118745"/>
                                </a:lnTo>
                                <a:lnTo>
                                  <a:pt x="0" y="118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63AF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bre 8"/>
                        <wps:cNvSpPr/>
                        <wps:spPr>
                          <a:xfrm>
                            <a:off x="529590" y="0"/>
                            <a:ext cx="76263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635" h="118745" extrusionOk="0">
                                <a:moveTo>
                                  <a:pt x="0" y="0"/>
                                </a:moveTo>
                                <a:lnTo>
                                  <a:pt x="762635" y="0"/>
                                </a:lnTo>
                                <a:lnTo>
                                  <a:pt x="762635" y="118745"/>
                                </a:lnTo>
                                <a:lnTo>
                                  <a:pt x="0" y="1187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73439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12698" o:spid="_x0000_s1036" style="position:absolute;margin-left:170pt;margin-top:782pt;width:101.75pt;height:9.35pt;z-index:251659264" coordorigin="46998,37206" coordsize="12922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">
              <v:group id="Grupo 5" o:spid="_x0000_s1037" style="position:absolute;left:46998;top:37206;width:12923;height:1187" coordsize="12922,1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ángulo 6" o:spid="_x0000_s1038" style="position:absolute;width:12922;height:1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A76412" w:rsidRDefault="00A7641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orma libre 7" o:spid="_x0000_s1039" style="position:absolute;width:5295;height:1187;visibility:visible;mso-wrap-style:square;v-text-anchor:middle" coordsize="529590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6SPcQA&#10;AADaAAAADwAAAGRycy9kb3ducmV2LnhtbESPQWvCQBSE74L/YXlCL6Kb5FBLdBUxtPQgBa0evD2y&#10;zySYfRt3V03/fbdQ8DjMzDfMYtWbVtzJ+caygnSagCAurW64UnD4fp+8gfABWWNrmRT8kIfVcjhY&#10;YK7tg3d034dKRAj7HBXUIXS5lL6syaCf2o44emfrDIYoXSW1w0eEm1ZmSfIqDTYcF2rsaFNTednf&#10;jILTustux7RwY0qvH5uvYltk1Vapl1G/noMI1Idn+L/9qRXM4O9Kv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Okj3EAAAA2gAAAA8AAAAAAAAAAAAAAAAAmAIAAGRycy9k&#10;b3ducmV2LnhtbFBLBQYAAAAABAAEAPUAAACJAwAAAAA=&#10;" path="m,l529590,r,118745l,118745,,e" fillcolor="#0063af" stroked="f">
                  <v:path arrowok="t" o:extrusionok="f"/>
                </v:shape>
                <v:shape id="Forma libre 8" o:spid="_x0000_s1040" style="position:absolute;left:5295;width:7627;height:1187;visibility:visible;mso-wrap-style:square;v-text-anchor:middle" coordsize="762635,11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pJRsAA&#10;AADaAAAADwAAAGRycy9kb3ducmV2LnhtbERPy4rCMBTdD/gP4QruxlTBGa1GEUVw48IHortLc02r&#10;zU1poq1/P1kIszyc92zR2lK8qPaFYwWDfgKCOHO6YKPgdNx8j0H4gKyxdEwK3uRhMe98zTDVruE9&#10;vQ7BiBjCPkUFeQhVKqXPcrLo+64ijtzN1RZDhLWRusYmhttSDpPkR1osODbkWNEqp+xxeFoF1925&#10;eRdm8jte3u+X0cas7ag5KtXrtsspiEBt+Bd/3FutIG6NV+INk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pJRsAAAADaAAAADwAAAAAAAAAAAAAAAACYAgAAZHJzL2Rvd25y&#10;ZXYueG1sUEsFBgAAAAAEAAQA9QAAAIUDAAAAAA==&#10;" path="m,l762635,r,118745l,118745,,e" fillcolor="#e73439" stroked="f">
                  <v:path arrowok="t" o:extrusionok="f"/>
                </v:shape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615" w:rsidRDefault="00EC7615">
      <w:pPr>
        <w:spacing w:after="0" w:line="240" w:lineRule="auto"/>
      </w:pPr>
      <w:r>
        <w:separator/>
      </w:r>
    </w:p>
  </w:footnote>
  <w:footnote w:type="continuationSeparator" w:id="0">
    <w:p w:rsidR="00EC7615" w:rsidRDefault="00EC7615">
      <w:pPr>
        <w:spacing w:after="0" w:line="240" w:lineRule="auto"/>
      </w:pPr>
      <w:r>
        <w:continuationSeparator/>
      </w:r>
    </w:p>
  </w:footnote>
  <w:footnote w:id="1">
    <w:p w:rsidR="00A76412" w:rsidRDefault="00EC7615">
      <w:pPr>
        <w:pBdr>
          <w:top w:val="nil"/>
          <w:left w:val="nil"/>
          <w:bottom w:val="nil"/>
          <w:right w:val="nil"/>
          <w:between w:val="nil"/>
        </w:pBdr>
        <w:spacing w:after="18" w:line="246" w:lineRule="auto"/>
        <w:ind w:left="1008" w:right="1023"/>
        <w:jc w:val="both"/>
        <w:rPr>
          <w:rFonts w:ascii="Cambria" w:eastAsia="Cambria" w:hAnsi="Cambria" w:cs="Cambria"/>
          <w:color w:val="575756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575756"/>
          <w:sz w:val="16"/>
          <w:szCs w:val="16"/>
        </w:rPr>
        <w:t xml:space="preserve"> Instituto Nacional de Estadísticas / Departamento de Extranjería y Migración (2019). Estimación de Personas Extranjeras Residentes en Chile al 31 de diciembre de 2019. Extraído de: </w:t>
      </w:r>
      <w:hyperlink r:id="rId1">
        <w:r>
          <w:rPr>
            <w:rFonts w:ascii="Cambria" w:eastAsia="Cambria" w:hAnsi="Cambria" w:cs="Cambria"/>
            <w:color w:val="575756"/>
            <w:sz w:val="16"/>
            <w:szCs w:val="16"/>
          </w:rPr>
          <w:t>https://www.ine.cl/d</w:t>
        </w:r>
      </w:hyperlink>
      <w:r>
        <w:rPr>
          <w:rFonts w:ascii="Cambria" w:eastAsia="Cambria" w:hAnsi="Cambria" w:cs="Cambria"/>
          <w:color w:val="575756"/>
          <w:sz w:val="16"/>
          <w:szCs w:val="16"/>
        </w:rPr>
        <w:t>ocs/def</w:t>
      </w:r>
      <w:hyperlink r:id="rId2">
        <w:r>
          <w:rPr>
            <w:rFonts w:ascii="Cambria" w:eastAsia="Cambria" w:hAnsi="Cambria" w:cs="Cambria"/>
            <w:color w:val="575756"/>
            <w:sz w:val="16"/>
            <w:szCs w:val="16"/>
          </w:rPr>
          <w:t>ault-source/demogr%c3%a1ficas-y-vitales/estimaciones-personas-e</w:t>
        </w:r>
        <w:r>
          <w:rPr>
            <w:rFonts w:ascii="Cambria" w:eastAsia="Cambria" w:hAnsi="Cambria" w:cs="Cambria"/>
            <w:color w:val="575756"/>
            <w:sz w:val="16"/>
            <w:szCs w:val="16"/>
          </w:rPr>
          <w:t>xtranjeras/</w:t>
        </w:r>
      </w:hyperlink>
      <w:r>
        <w:rPr>
          <w:rFonts w:ascii="Cambria" w:eastAsia="Cambria" w:hAnsi="Cambria" w:cs="Cambria"/>
          <w:color w:val="575756"/>
          <w:sz w:val="16"/>
          <w:szCs w:val="16"/>
        </w:rPr>
        <w:t>estimacion-poblacion-chilena-en-chile.pdf?sfvrsn=9dde5cd2_5</w:t>
      </w:r>
    </w:p>
    <w:p w:rsidR="00A76412" w:rsidRDefault="00EC7615">
      <w:pPr>
        <w:pBdr>
          <w:top w:val="nil"/>
          <w:left w:val="nil"/>
          <w:bottom w:val="nil"/>
          <w:right w:val="nil"/>
          <w:between w:val="nil"/>
        </w:pBdr>
        <w:spacing w:after="18" w:line="246" w:lineRule="auto"/>
        <w:ind w:left="1008" w:right="1023"/>
        <w:jc w:val="both"/>
        <w:rPr>
          <w:rFonts w:ascii="Cambria" w:eastAsia="Cambria" w:hAnsi="Cambria" w:cs="Cambria"/>
          <w:color w:val="575756"/>
          <w:sz w:val="16"/>
          <w:szCs w:val="16"/>
        </w:rPr>
      </w:pPr>
      <w:r>
        <w:rPr>
          <w:rFonts w:ascii="Cambria" w:eastAsia="Cambria" w:hAnsi="Cambria" w:cs="Cambria"/>
          <w:color w:val="575756"/>
          <w:sz w:val="16"/>
          <w:szCs w:val="16"/>
        </w:rPr>
        <w:t>2www.fonasa.cl/</w:t>
      </w:r>
      <w:proofErr w:type="spellStart"/>
      <w:r>
        <w:rPr>
          <w:rFonts w:ascii="Cambria" w:eastAsia="Cambria" w:hAnsi="Cambria" w:cs="Cambria"/>
          <w:color w:val="575756"/>
          <w:sz w:val="16"/>
          <w:szCs w:val="16"/>
        </w:rPr>
        <w:t>sites</w:t>
      </w:r>
      <w:proofErr w:type="spellEnd"/>
      <w:r>
        <w:rPr>
          <w:rFonts w:ascii="Cambria" w:eastAsia="Cambria" w:hAnsi="Cambria" w:cs="Cambria"/>
          <w:color w:val="575756"/>
          <w:sz w:val="16"/>
          <w:szCs w:val="16"/>
        </w:rPr>
        <w:t>/</w:t>
      </w:r>
      <w:proofErr w:type="spellStart"/>
      <w:r>
        <w:rPr>
          <w:rFonts w:ascii="Cambria" w:eastAsia="Cambria" w:hAnsi="Cambria" w:cs="Cambria"/>
          <w:color w:val="575756"/>
          <w:sz w:val="16"/>
          <w:szCs w:val="16"/>
        </w:rPr>
        <w:t>fonasa</w:t>
      </w:r>
      <w:proofErr w:type="spellEnd"/>
      <w:r>
        <w:rPr>
          <w:rFonts w:ascii="Cambria" w:eastAsia="Cambria" w:hAnsi="Cambria" w:cs="Cambria"/>
          <w:color w:val="575756"/>
          <w:sz w:val="16"/>
          <w:szCs w:val="16"/>
        </w:rPr>
        <w:t>/datos-abiertos/tablero-beneficiario</w:t>
      </w:r>
      <w:r>
        <w:rPr>
          <w:rFonts w:ascii="Cambria" w:eastAsia="Cambria" w:hAnsi="Cambria" w:cs="Cambria"/>
          <w:color w:val="00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2A1"/>
    <w:multiLevelType w:val="multilevel"/>
    <w:tmpl w:val="A6905274"/>
    <w:lvl w:ilvl="0">
      <w:start w:val="1"/>
      <w:numFmt w:val="bullet"/>
      <w:lvlText w:val="•"/>
      <w:lvlJc w:val="left"/>
      <w:pPr>
        <w:ind w:left="1517" w:hanging="1517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314" w:hanging="231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034" w:hanging="303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754" w:hanging="375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474" w:hanging="447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94" w:hanging="519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14" w:hanging="591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634" w:hanging="663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54" w:hanging="735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47F70352"/>
    <w:multiLevelType w:val="multilevel"/>
    <w:tmpl w:val="41F4946C"/>
    <w:lvl w:ilvl="0">
      <w:start w:val="1"/>
      <w:numFmt w:val="decimal"/>
      <w:lvlText w:val="%1."/>
      <w:lvlJc w:val="left"/>
      <w:pPr>
        <w:ind w:left="1630" w:hanging="1630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369" w:hanging="2369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89" w:hanging="3089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09" w:hanging="3809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29" w:hanging="4529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49" w:hanging="5249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69" w:hanging="5969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89" w:hanging="6689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09" w:hanging="7409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700833A3"/>
    <w:multiLevelType w:val="multilevel"/>
    <w:tmpl w:val="5DBC69D2"/>
    <w:lvl w:ilvl="0">
      <w:start w:val="1"/>
      <w:numFmt w:val="bullet"/>
      <w:lvlText w:val="•"/>
      <w:lvlJc w:val="left"/>
      <w:pPr>
        <w:ind w:left="1517" w:hanging="1517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314" w:hanging="231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034" w:hanging="303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754" w:hanging="375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474" w:hanging="447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94" w:hanging="519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14" w:hanging="591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634" w:hanging="663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54" w:hanging="7354"/>
      </w:pPr>
      <w:rPr>
        <w:rFonts w:ascii="Tahoma" w:eastAsia="Tahoma" w:hAnsi="Tahoma" w:cs="Tahoma"/>
        <w:b w:val="0"/>
        <w:i w:val="0"/>
        <w:strike w:val="0"/>
        <w:color w:val="575756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12"/>
    <w:rsid w:val="00A76412"/>
    <w:rsid w:val="00EC7615"/>
    <w:rsid w:val="00F7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116D90F-3E12-48C4-9102-C7C54515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626D3D"/>
    <w:pPr>
      <w:keepNext/>
      <w:keepLines/>
      <w:spacing w:after="135"/>
      <w:ind w:left="1347"/>
      <w:outlineLvl w:val="0"/>
    </w:pPr>
    <w:rPr>
      <w:rFonts w:ascii="Cambria" w:eastAsia="Cambria" w:hAnsi="Cambria" w:cs="Cambria"/>
      <w:b/>
      <w:color w:val="006FB7"/>
      <w:sz w:val="40"/>
    </w:rPr>
  </w:style>
  <w:style w:type="paragraph" w:styleId="Ttulo2">
    <w:name w:val="heading 2"/>
    <w:next w:val="Normal"/>
    <w:link w:val="Ttulo2Car"/>
    <w:uiPriority w:val="9"/>
    <w:unhideWhenUsed/>
    <w:qFormat/>
    <w:rsid w:val="00626D3D"/>
    <w:pPr>
      <w:keepNext/>
      <w:keepLines/>
      <w:spacing w:after="113"/>
      <w:ind w:left="1008"/>
      <w:outlineLvl w:val="1"/>
    </w:pPr>
    <w:rPr>
      <w:rFonts w:ascii="Cambria" w:eastAsia="Cambria" w:hAnsi="Cambria" w:cs="Cambria"/>
      <w:b/>
      <w:color w:val="0063AF"/>
      <w:sz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626D3D"/>
    <w:rPr>
      <w:rFonts w:ascii="Cambria" w:eastAsia="Cambria" w:hAnsi="Cambria" w:cs="Cambria"/>
      <w:b/>
      <w:color w:val="006FB7"/>
      <w:sz w:val="40"/>
    </w:rPr>
  </w:style>
  <w:style w:type="character" w:customStyle="1" w:styleId="Ttulo2Car">
    <w:name w:val="Título 2 Car"/>
    <w:basedOn w:val="Fuentedeprrafopredeter"/>
    <w:link w:val="Ttulo2"/>
    <w:uiPriority w:val="9"/>
    <w:rsid w:val="00626D3D"/>
    <w:rPr>
      <w:rFonts w:ascii="Cambria" w:eastAsia="Cambria" w:hAnsi="Cambria" w:cs="Cambria"/>
      <w:b/>
      <w:color w:val="0063AF"/>
      <w:sz w:val="26"/>
    </w:rPr>
  </w:style>
  <w:style w:type="paragraph" w:customStyle="1" w:styleId="footnotedescription">
    <w:name w:val="footnote description"/>
    <w:next w:val="Normal"/>
    <w:link w:val="footnotedescriptionChar"/>
    <w:hidden/>
    <w:rsid w:val="00626D3D"/>
    <w:pPr>
      <w:spacing w:after="18" w:line="247" w:lineRule="auto"/>
      <w:ind w:left="1008" w:right="1023"/>
      <w:jc w:val="both"/>
    </w:pPr>
    <w:rPr>
      <w:rFonts w:ascii="Cambria" w:eastAsia="Cambria" w:hAnsi="Cambria" w:cs="Cambria"/>
      <w:color w:val="575756"/>
      <w:sz w:val="16"/>
    </w:rPr>
  </w:style>
  <w:style w:type="character" w:customStyle="1" w:styleId="footnotedescriptionChar">
    <w:name w:val="footnote description Char"/>
    <w:link w:val="footnotedescription"/>
    <w:rsid w:val="00626D3D"/>
    <w:rPr>
      <w:rFonts w:ascii="Cambria" w:eastAsia="Cambria" w:hAnsi="Cambria" w:cs="Cambria"/>
      <w:color w:val="575756"/>
      <w:sz w:val="16"/>
    </w:rPr>
  </w:style>
  <w:style w:type="character" w:customStyle="1" w:styleId="footnotemark">
    <w:name w:val="footnote mark"/>
    <w:hidden/>
    <w:rsid w:val="00626D3D"/>
    <w:rPr>
      <w:rFonts w:ascii="Cambria" w:eastAsia="Cambria" w:hAnsi="Cambria" w:cs="Cambria"/>
      <w:color w:val="575756"/>
      <w:sz w:val="14"/>
      <w:vertAlign w:val="superscript"/>
    </w:rPr>
  </w:style>
  <w:style w:type="table" w:customStyle="1" w:styleId="TableGrid">
    <w:name w:val="TableGrid"/>
    <w:rsid w:val="00626D3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1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e.cl/docs/default-source/demogr%c3%a1ficas-y-vitales/estimaciones-personas-extranjeras/" TargetMode="External"/><Relationship Id="rId1" Type="http://schemas.openxmlformats.org/officeDocument/2006/relationships/hyperlink" Target="http://www.ine.cl/docs/default-source/demogr%c3%a1ficas-y-vitales/estimaciones-personas-extranjer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jEdD3WGnthzEGUU9F8rFZGlqug==">AMUW2mXS3rjvmLQNqbvI5un1EkGgyWF6BRoDXgnEjetBxjLqOW5+M1S+LiqFrzqnWIzmWVpxa99PV7XTlIc3kNe+uv9XblhtGC3opDiiixZcRO+N8rmWI4wMTZjJ3o7m8AxmaeCuUhCL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1867</Words>
  <Characters>10272</Characters>
  <Application>Microsoft Office Word</Application>
  <DocSecurity>0</DocSecurity>
  <Lines>85</Lines>
  <Paragraphs>24</Paragraphs>
  <ScaleCrop>false</ScaleCrop>
  <Company/>
  <LinksUpToDate>false</LinksUpToDate>
  <CharactersWithSpaces>12115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Pereira Romero</dc:creator>
  <cp:lastModifiedBy>Milena Pereira Romero</cp:lastModifiedBy>
  <cp:revision>2</cp:revision>
  <dcterms:created xsi:type="dcterms:W3CDTF">2022-08-12T15:26:00Z</dcterms:created>
  <dcterms:modified xsi:type="dcterms:W3CDTF">2022-09-01T20:24:00Z</dcterms:modified>
</cp:coreProperties>
</file>